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dodocumento"/>
        <w:spacing w:before="91" w:after="0"/>
        <w:ind w:left="0" w:hanging="0"/>
        <w:jc w:val="center"/>
        <w:rPr>
          <w:sz w:val="22"/>
          <w:szCs w:val="22"/>
        </w:rPr>
      </w:pPr>
      <w:r>
        <w:rPr>
          <w:sz w:val="22"/>
          <w:szCs w:val="22"/>
        </w:rPr>
      </w:r>
    </w:p>
    <w:p>
      <w:pPr>
        <w:pStyle w:val="Ttulododocumento"/>
        <w:ind w:left="0" w:hanging="0"/>
        <w:jc w:val="center"/>
        <w:rPr>
          <w:sz w:val="22"/>
          <w:szCs w:val="22"/>
        </w:rPr>
      </w:pPr>
      <w:r>
        <w:rPr>
          <w:sz w:val="22"/>
          <w:szCs w:val="22"/>
        </w:rPr>
        <w:t>MINUTA DE EDITAL</w:t>
      </w:r>
      <w:r>
        <w:rPr>
          <w:spacing w:val="-10"/>
          <w:sz w:val="22"/>
          <w:szCs w:val="22"/>
        </w:rPr>
        <w:t xml:space="preserve"> </w:t>
      </w:r>
      <w:r>
        <w:rPr>
          <w:sz w:val="22"/>
          <w:szCs w:val="22"/>
        </w:rPr>
        <w:t>DA</w:t>
      </w:r>
      <w:r>
        <w:rPr>
          <w:spacing w:val="-15"/>
          <w:sz w:val="22"/>
          <w:szCs w:val="22"/>
        </w:rPr>
        <w:t xml:space="preserve"> </w:t>
      </w:r>
      <w:r>
        <w:rPr>
          <w:sz w:val="22"/>
          <w:szCs w:val="22"/>
        </w:rPr>
        <w:t>CONCORRÊNCIA</w:t>
      </w:r>
      <w:r>
        <w:rPr>
          <w:spacing w:val="-15"/>
          <w:sz w:val="22"/>
          <w:szCs w:val="22"/>
        </w:rPr>
        <w:t xml:space="preserve"> </w:t>
      </w:r>
      <w:r>
        <w:rPr>
          <w:spacing w:val="-13"/>
          <w:sz w:val="22"/>
          <w:szCs w:val="22"/>
        </w:rPr>
        <w:t xml:space="preserve">ELETRÔNICA </w:t>
      </w:r>
      <w:r>
        <w:rPr>
          <w:sz w:val="22"/>
          <w:szCs w:val="22"/>
        </w:rPr>
        <w:t>Nº</w:t>
      </w:r>
      <w:r>
        <w:rPr>
          <w:spacing w:val="-7"/>
          <w:sz w:val="22"/>
          <w:szCs w:val="22"/>
        </w:rPr>
        <w:t xml:space="preserve"> 020</w:t>
      </w:r>
      <w:r>
        <w:rPr>
          <w:sz w:val="22"/>
          <w:szCs w:val="22"/>
        </w:rPr>
        <w:t>/2025</w:t>
      </w:r>
    </w:p>
    <w:p>
      <w:pPr>
        <w:pStyle w:val="Normal"/>
        <w:spacing w:before="242" w:after="0"/>
        <w:jc w:val="both"/>
        <w:rPr>
          <w:rFonts w:ascii="Arial" w:hAnsi="Arial"/>
          <w:b/>
          <w:b/>
        </w:rPr>
      </w:pPr>
      <w:r>
        <w:rPr>
          <w:rFonts w:ascii="Arial" w:hAnsi="Arial"/>
          <w:b/>
        </w:rPr>
      </w:r>
    </w:p>
    <w:p>
      <w:pPr>
        <w:pStyle w:val="Normal"/>
        <w:spacing w:before="242" w:after="0"/>
        <w:jc w:val="both"/>
        <w:rPr>
          <w:rFonts w:ascii="Arial" w:hAnsi="Arial"/>
          <w:b/>
          <w:b/>
        </w:rPr>
      </w:pPr>
      <w:r>
        <w:rPr>
          <w:rFonts w:ascii="Arial" w:hAnsi="Arial"/>
          <w:b/>
        </w:rPr>
      </w:r>
    </w:p>
    <w:p>
      <w:pPr>
        <w:pStyle w:val="Normal"/>
        <w:spacing w:before="242" w:after="0"/>
        <w:jc w:val="both"/>
        <w:rPr>
          <w:rFonts w:ascii="Arial" w:hAnsi="Arial"/>
          <w:b/>
          <w:b/>
        </w:rPr>
      </w:pPr>
      <w:r>
        <w:rPr>
          <w:rFonts w:ascii="Arial" w:hAnsi="Arial"/>
          <w:b/>
        </w:rPr>
      </w:r>
    </w:p>
    <w:p>
      <w:pPr>
        <w:pStyle w:val="Normal"/>
        <w:spacing w:before="242" w:after="0"/>
        <w:jc w:val="both"/>
        <w:rPr>
          <w:rFonts w:ascii="Arial" w:hAnsi="Arial"/>
          <w:b/>
          <w:b/>
        </w:rPr>
      </w:pPr>
      <w:r>
        <w:rPr>
          <w:rFonts w:ascii="Arial" w:hAnsi="Arial"/>
          <w:b/>
        </w:rPr>
      </w:r>
    </w:p>
    <w:p>
      <w:pPr>
        <w:pStyle w:val="Normal"/>
        <w:jc w:val="both"/>
        <w:rPr/>
      </w:pPr>
      <w:r>
        <w:rPr>
          <w:rFonts w:ascii="Arial" w:hAnsi="Arial"/>
          <w:b/>
        </w:rPr>
        <w:t xml:space="preserve">O MUNICÍPIO DE ARACRUZ, </w:t>
      </w:r>
      <w:r>
        <w:rPr>
          <w:rFonts w:ascii="Arial" w:hAnsi="Arial"/>
        </w:rPr>
        <w:t xml:space="preserve">Estado do Espírito Santo, por intermédio da Secretaria Municipal de Obras, doravante denominada SEMOB, torna público, para conhecimento dos interessados que realizará licitação, conforme autorização contida no processo nº 35.140/2025, na modalidade </w:t>
      </w:r>
      <w:r>
        <w:rPr>
          <w:rFonts w:ascii="Arial" w:hAnsi="Arial"/>
          <w:b/>
          <w:bCs/>
        </w:rPr>
        <w:t>CONCORRÊNCIA</w:t>
      </w:r>
      <w:r>
        <w:rPr>
          <w:rFonts w:ascii="Arial" w:hAnsi="Arial"/>
        </w:rPr>
        <w:t>,  na</w:t>
      </w:r>
      <w:r>
        <w:rPr>
          <w:rFonts w:cs="Arial" w:ascii="Arial" w:hAnsi="Arial"/>
          <w:bCs/>
          <w:iCs/>
        </w:rPr>
        <w:t xml:space="preserve"> forma </w:t>
      </w:r>
      <w:r>
        <w:rPr>
          <w:rFonts w:cs="Arial" w:ascii="Arial" w:hAnsi="Arial"/>
          <w:b/>
        </w:rPr>
        <w:t>ELETRÔNICA</w:t>
      </w:r>
      <w:r>
        <w:rPr>
          <w:rFonts w:cs="Arial" w:ascii="Arial" w:hAnsi="Arial"/>
        </w:rPr>
        <w:t xml:space="preserve">, </w:t>
      </w:r>
      <w:r>
        <w:rPr>
          <w:rFonts w:cs="Arial" w:ascii="Arial" w:hAnsi="Arial"/>
          <w:bCs/>
        </w:rPr>
        <w:t xml:space="preserve">do </w:t>
      </w:r>
      <w:r>
        <w:rPr>
          <w:rFonts w:cs="Arial" w:ascii="Arial" w:hAnsi="Arial"/>
          <w:bCs/>
          <w:iCs/>
        </w:rPr>
        <w:t xml:space="preserve">tipo </w:t>
      </w:r>
      <w:r>
        <w:rPr>
          <w:rFonts w:cs="Arial" w:ascii="Arial" w:hAnsi="Arial"/>
          <w:b/>
          <w:bCs/>
          <w:iCs/>
        </w:rPr>
        <w:t xml:space="preserve">menor preço, </w:t>
      </w:r>
      <w:r>
        <w:rPr>
          <w:rFonts w:cs="Arial" w:ascii="Arial" w:hAnsi="Arial"/>
        </w:rPr>
        <w:t xml:space="preserve">objetivando a </w:t>
      </w:r>
      <w:r>
        <w:rPr>
          <w:rFonts w:cs="Arial" w:ascii="Arial" w:hAnsi="Arial"/>
          <w:b/>
          <w:bCs/>
        </w:rPr>
        <w:t>CONTRATAÇÃO DE EMPRESA PARA EXECUÇÃO DA OBRA DE IMPLANTAÇÃO DE INFRAESTRUTURA NO BAIRRO PÔR DO SOL, NO MUNICÍPIO DE ARACRUZ – ES,</w:t>
      </w:r>
      <w:r>
        <w:rPr>
          <w:rFonts w:cs="Arial" w:ascii="Arial" w:hAnsi="Arial"/>
        </w:rPr>
        <w:t xml:space="preserve"> na forma de execução indireta, sob regime de empreitada por </w:t>
      </w:r>
      <w:r>
        <w:rPr>
          <w:rFonts w:cs="Arial" w:ascii="Arial" w:hAnsi="Arial"/>
          <w:iCs/>
        </w:rPr>
        <w:t>preço unitário. O procedimento licitatório será regido pela Lei nº 14.133, de 01 de abril de 2021, Decreto Municipal nº 43.364/2023 e demais regulamentações a nível municipal (através do link: http://transparencia.aracruz.es.gov.br/PrestacaoDeContas.aspx?c=5270), bem como demais legislações aplicáveis à matéria e, de acordo com o disposto no presente Edital e respectivos anexos, que dele passam a fazer parte integrante para todos os efeitos, independentemente de transcrição, e será realizado pelo Agente de Contratação e Equipe de Apoio designados pela Portaria nº 20.667/2025.</w:t>
      </w:r>
    </w:p>
    <w:p>
      <w:pPr>
        <w:pStyle w:val="Ttulo1"/>
        <w:ind w:left="0" w:hanging="0"/>
        <w:jc w:val="both"/>
        <w:rPr>
          <w:sz w:val="22"/>
          <w:szCs w:val="22"/>
        </w:rPr>
      </w:pPr>
      <w:r>
        <w:rPr>
          <w:sz w:val="22"/>
          <w:szCs w:val="22"/>
        </w:rPr>
      </w:r>
    </w:p>
    <w:p>
      <w:pPr>
        <w:pStyle w:val="Ttulo1"/>
        <w:ind w:left="0" w:hanging="0"/>
        <w:jc w:val="both"/>
        <w:rPr/>
      </w:pPr>
      <w:r>
        <w:rPr>
          <w:sz w:val="22"/>
          <w:szCs w:val="22"/>
        </w:rPr>
        <w:t>ID</w:t>
      </w:r>
      <w:r>
        <w:rPr>
          <w:spacing w:val="-5"/>
          <w:sz w:val="22"/>
          <w:szCs w:val="22"/>
        </w:rPr>
        <w:t xml:space="preserve"> </w:t>
      </w:r>
      <w:r>
        <w:rPr>
          <w:sz w:val="22"/>
          <w:szCs w:val="22"/>
        </w:rPr>
        <w:t>CIDADES/TCEES:</w:t>
      </w:r>
      <w:r>
        <w:rPr>
          <w:spacing w:val="-3"/>
          <w:sz w:val="22"/>
          <w:szCs w:val="22"/>
        </w:rPr>
        <w:t xml:space="preserve"> 2025.009E0600014.01.0006</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
          <w:bCs/>
          <w:lang w:eastAsia="pt-BR"/>
        </w:rPr>
        <w:t>INÍCIO DE ACOLHIMENTO DAS PROPOSTAS: 03/11/2025</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
          <w:bCs/>
          <w:lang w:eastAsia="pt-BR"/>
        </w:rPr>
        <w:t xml:space="preserve">LIMITE PARA ACOLHIMENTO DAS PROPOSTAS: </w:t>
      </w:r>
      <w:r>
        <w:rPr>
          <w:rFonts w:eastAsia="Times New Roman" w:cs="Arial" w:ascii="Arial" w:hAnsi="Arial"/>
          <w:b/>
          <w:bCs/>
          <w:lang w:eastAsia="pt-BR"/>
        </w:rPr>
        <w:t>10/12</w:t>
      </w:r>
      <w:r>
        <w:rPr>
          <w:rFonts w:eastAsia="Times New Roman" w:cs="Arial" w:ascii="Arial" w:hAnsi="Arial"/>
          <w:b/>
          <w:bCs/>
          <w:lang w:eastAsia="pt-BR"/>
        </w:rPr>
        <w:t>/2025 às 08h00min</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
          <w:bCs/>
          <w:lang w:eastAsia="pt-BR"/>
        </w:rPr>
        <w:t xml:space="preserve">ABERTURA DAS PROPOSTAS: </w:t>
      </w:r>
      <w:r>
        <w:rPr>
          <w:rFonts w:eastAsia="Times New Roman" w:cs="Arial" w:ascii="Arial" w:hAnsi="Arial"/>
          <w:b/>
          <w:bCs/>
          <w:lang w:eastAsia="pt-BR"/>
        </w:rPr>
        <w:t>10/12</w:t>
      </w:r>
      <w:r>
        <w:rPr>
          <w:rFonts w:eastAsia="Times New Roman" w:cs="Arial" w:ascii="Arial" w:hAnsi="Arial"/>
          <w:b/>
          <w:bCs/>
          <w:lang w:eastAsia="pt-BR"/>
        </w:rPr>
        <w:t>/2025 às 08h30min</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
          <w:bCs/>
          <w:lang w:eastAsia="pt-BR"/>
        </w:rPr>
        <w:t xml:space="preserve">ABERTURA DA SESSÃO E INÍCIO DA DISPUTA: </w:t>
      </w:r>
      <w:r>
        <w:rPr>
          <w:rFonts w:eastAsia="Times New Roman" w:cs="Arial" w:ascii="Arial" w:hAnsi="Arial"/>
          <w:b/>
          <w:bCs/>
          <w:lang w:eastAsia="pt-BR"/>
        </w:rPr>
        <w:t>10/12</w:t>
      </w:r>
      <w:r>
        <w:rPr>
          <w:rFonts w:eastAsia="Times New Roman" w:cs="Arial" w:ascii="Arial" w:hAnsi="Arial"/>
          <w:b/>
          <w:bCs/>
          <w:lang w:eastAsia="pt-BR"/>
        </w:rPr>
        <w:t>/2025 às 09h00min</w:t>
      </w:r>
    </w:p>
    <w:p>
      <w:pPr>
        <w:pStyle w:val="Normal"/>
        <w:numPr>
          <w:ilvl w:val="0"/>
          <w:numId w:val="0"/>
        </w:numPr>
        <w:tabs>
          <w:tab w:val="clear" w:pos="720"/>
          <w:tab w:val="left" w:pos="426" w:leader="none"/>
        </w:tabs>
        <w:ind w:left="0" w:hanging="0"/>
        <w:jc w:val="both"/>
        <w:outlineLvl w:val="0"/>
        <w:rPr/>
      </w:pPr>
      <w:r>
        <w:rPr>
          <w:rStyle w:val="LinkdaInternet"/>
          <w:rFonts w:eastAsia="Times New Roman" w:cs="Arial" w:ascii="Arial" w:hAnsi="Arial"/>
          <w:b/>
          <w:bCs/>
          <w:lang w:eastAsia="pt-BR"/>
        </w:rPr>
        <w:t xml:space="preserve">Local: NA PLATAFORMA BLL – </w:t>
      </w:r>
      <w:hyperlink r:id="rId2">
        <w:r>
          <w:rPr>
            <w:rStyle w:val="LinkdaInternet"/>
            <w:rFonts w:eastAsia="Times New Roman" w:cs="Arial" w:ascii="Arial" w:hAnsi="Arial"/>
            <w:b/>
            <w:bCs/>
            <w:lang w:eastAsia="pt-BR"/>
          </w:rPr>
          <w:t>http://bll.org.br</w:t>
        </w:r>
      </w:hyperlink>
    </w:p>
    <w:p>
      <w:pPr>
        <w:pStyle w:val="Normal"/>
        <w:numPr>
          <w:ilvl w:val="0"/>
          <w:numId w:val="0"/>
        </w:numPr>
        <w:tabs>
          <w:tab w:val="clear" w:pos="720"/>
          <w:tab w:val="left" w:pos="426" w:leader="none"/>
        </w:tabs>
        <w:ind w:left="0" w:hanging="0"/>
        <w:jc w:val="both"/>
        <w:outlineLvl w:val="0"/>
        <w:rPr>
          <w:rFonts w:ascii="Arial" w:hAnsi="Arial"/>
        </w:rPr>
      </w:pPr>
      <w:r>
        <w:rPr>
          <w:rFonts w:ascii="Arial" w:hAnsi="Arial"/>
        </w:rPr>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As obras previstas neste Edital e seus anexos, dele sendo partes integrantes, serão executados de acordo com as especificações e quantitativos estimados, constantes dos documentos a seguir mencionados, independente de suas transcrições totais ou parciais, e deverão ser rigorosamente obedecidos na apresentação da documentação e elaboração das propostas:</w:t>
      </w:r>
    </w:p>
    <w:p>
      <w:pPr>
        <w:pStyle w:val="Normal"/>
        <w:numPr>
          <w:ilvl w:val="0"/>
          <w:numId w:val="0"/>
        </w:numPr>
        <w:tabs>
          <w:tab w:val="clear" w:pos="720"/>
          <w:tab w:val="left" w:pos="426" w:leader="none"/>
        </w:tabs>
        <w:ind w:left="0" w:hanging="0"/>
        <w:jc w:val="both"/>
        <w:outlineLvl w:val="0"/>
        <w:rPr>
          <w:rFonts w:ascii="Arial" w:hAnsi="Arial" w:eastAsia="Times New Roman" w:cs="Arial"/>
          <w:bCs/>
          <w:lang w:eastAsia="pt-BR"/>
        </w:rPr>
      </w:pPr>
      <w:r>
        <w:rPr>
          <w:rFonts w:eastAsia="Times New Roman" w:cs="Arial" w:ascii="Arial" w:hAnsi="Arial"/>
          <w:bCs/>
          <w:lang w:eastAsia="pt-BR"/>
        </w:rPr>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 xml:space="preserve">a) Projeto Básico/termo de referencia – anexo ao processo </w:t>
        <w:tab/>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b) Projetos Executivos – anexo ao processo</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c) Planilha orçamentária referencial - anexa do processo</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d) Cronograma físico-financeiro – anexo ao processo</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 xml:space="preserve">e) Memorial de Cálculo – anexo ao processo  </w:t>
      </w:r>
    </w:p>
    <w:p>
      <w:pPr>
        <w:pStyle w:val="Normal"/>
        <w:numPr>
          <w:ilvl w:val="0"/>
          <w:numId w:val="0"/>
        </w:numPr>
        <w:tabs>
          <w:tab w:val="clear" w:pos="720"/>
          <w:tab w:val="left" w:pos="426" w:leader="none"/>
        </w:tabs>
        <w:ind w:left="0" w:hanging="0"/>
        <w:jc w:val="both"/>
        <w:outlineLvl w:val="0"/>
        <w:rPr/>
      </w:pPr>
      <w:r>
        <w:rPr>
          <w:rFonts w:eastAsia="Times New Roman" w:cs="Arial" w:ascii="Arial" w:hAnsi="Arial"/>
          <w:bCs/>
          <w:lang w:eastAsia="pt-BR"/>
        </w:rPr>
        <w:t>f) Composições – anexo ao processo</w:t>
      </w:r>
    </w:p>
    <w:p>
      <w:pPr>
        <w:pStyle w:val="ListParagraph"/>
        <w:spacing w:before="0" w:after="0"/>
        <w:ind w:left="0" w:hanging="0"/>
        <w:contextualSpacing/>
        <w:rPr>
          <w:rFonts w:ascii="Arial" w:hAnsi="Arial"/>
        </w:rPr>
      </w:pPr>
      <w:r>
        <w:rPr>
          <w:rFonts w:ascii="Arial" w:hAnsi="Arial"/>
        </w:rPr>
      </w:r>
    </w:p>
    <w:p>
      <w:pPr>
        <w:pStyle w:val="ListParagraph"/>
        <w:spacing w:before="0" w:after="0"/>
        <w:ind w:left="0" w:hanging="0"/>
        <w:contextualSpacing/>
        <w:rPr>
          <w:rFonts w:ascii="Arial" w:hAnsi="Arial"/>
        </w:rPr>
      </w:pPr>
      <w:r>
        <w:rPr>
          <w:rFonts w:ascii="Arial" w:hAnsi="Arial"/>
        </w:rPr>
      </w:r>
    </w:p>
    <w:p>
      <w:pPr>
        <w:pStyle w:val="ListParagraph"/>
        <w:spacing w:before="0" w:after="0"/>
        <w:ind w:left="0" w:hanging="0"/>
        <w:contextualSpacing/>
        <w:rPr>
          <w:rFonts w:ascii="Arial" w:hAnsi="Arial"/>
        </w:rPr>
      </w:pPr>
      <w:r>
        <w:rPr>
          <w:rFonts w:cs="Arial" w:ascii="Arial" w:hAnsi="Arial"/>
          <w:b/>
        </w:rPr>
        <w:t>1. DO OBJETO E DO LOCAL DA PRESTAÇÃO DOS SERVIÇOS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 O objeto do presente certame consiste na </w:t>
      </w:r>
      <w:r>
        <w:rPr>
          <w:rFonts w:cs="Arial" w:ascii="Arial" w:hAnsi="Arial"/>
          <w:b/>
          <w:bCs/>
        </w:rPr>
        <w:t xml:space="preserve">CONTRATAÇÃO DE EMPRESA PARA EXECUÇÃO DA OBRA DE IMPLANTAÇÃO DE INFRAESTRUTURA NO BAIRRO PÔR DO SOL, NO MUNICÍPIO DE ARACRUZ – ES, </w:t>
      </w:r>
      <w:r>
        <w:rPr>
          <w:rFonts w:cs="Arial" w:ascii="Arial" w:hAnsi="Arial"/>
        </w:rPr>
        <w:t>conforme especificações técnicas, unidades e quantidades, descritas na Planilha Orçamentária e Projetos anexos ao presente Edital de Concorrência.</w:t>
      </w:r>
    </w:p>
    <w:p>
      <w:pPr>
        <w:pStyle w:val="Normal"/>
        <w:tabs>
          <w:tab w:val="clear" w:pos="720"/>
          <w:tab w:val="left" w:pos="627" w:leader="none"/>
        </w:tabs>
        <w:jc w:val="both"/>
        <w:rPr>
          <w:rFonts w:ascii="Arial" w:hAnsi="Arial"/>
        </w:rPr>
      </w:pPr>
      <w:r>
        <w:rPr>
          <w:rFonts w:cs="Arial" w:ascii="Arial" w:hAnsi="Arial"/>
          <w:color w:val="000009"/>
          <w:spacing w:val="1"/>
        </w:rPr>
        <w:t xml:space="preserve">1.2. A Contratada se obrigará a executar as obras, empregando exclusivamente materiais de primeira qualidade e obedecendo, rigorosamente, aos Levantamento Topográfico, Projeto Geométrico, Terraplanagem, Drenagem, Pavimentação, Sinalização, Obras Complementares e Iluminação Pública, bem como às Normas e Especificações Técnicas Vigentes (tais quais normas da ABNT – Associação Brasileira de Normas Técnicas, DNIT – Departamento Nacional de Infraestrutura de Transportes e orientações técnicas do IBRAOP – Instituto Brasileiro de Auditoria de Obras Públicas). </w:t>
      </w:r>
    </w:p>
    <w:p>
      <w:pPr>
        <w:pStyle w:val="Normal"/>
        <w:tabs>
          <w:tab w:val="clear" w:pos="720"/>
          <w:tab w:val="left" w:pos="627" w:leader="none"/>
        </w:tabs>
        <w:jc w:val="both"/>
        <w:rPr>
          <w:rFonts w:ascii="Arial" w:hAnsi="Arial"/>
        </w:rPr>
      </w:pPr>
      <w:r>
        <w:rPr>
          <w:rFonts w:ascii="Arial" w:hAnsi="Arial"/>
        </w:rPr>
      </w:r>
    </w:p>
    <w:p>
      <w:pPr>
        <w:pStyle w:val="Normal"/>
        <w:tabs>
          <w:tab w:val="clear" w:pos="720"/>
          <w:tab w:val="left" w:pos="627" w:leader="none"/>
        </w:tabs>
        <w:jc w:val="both"/>
        <w:rPr>
          <w:rFonts w:ascii="Arial" w:hAnsi="Arial" w:cs="Arial"/>
          <w:color w:val="000009"/>
          <w:spacing w:val="1"/>
        </w:rPr>
      </w:pPr>
      <w:r>
        <w:rPr>
          <w:rFonts w:cs="Arial" w:ascii="Arial" w:hAnsi="Arial"/>
          <w:color w:val="000009"/>
          <w:spacing w:val="1"/>
        </w:rPr>
        <w:t>1.3. Poderá o Município de Aracruz, por meio da Secretaria de Obras, a seu critério, exigir a demolição e reconstrução de qualquer parte dos serviços, caso estes tenham sido executados com imperícia técnica ou em desacordo com o Projeto, Norma e Especificações próprias.</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cs="Arial" w:ascii="Arial" w:hAnsi="Arial"/>
          <w:b/>
          <w:color w:val="000000"/>
        </w:rPr>
        <w:t xml:space="preserve">2. DO REGIME DE EXECUÇÃO, DO CRITÉRIO DE JULGAMENTO, DO MODO DE DISPUTA </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2.1. Os serviços objeto deste Edital serão executados sob a forma de EXECUÇÃO INDIRETA,  regime de EMPREITADA POR PREÇO UNITÁRIO, nos termos do art. 6º, inciso XXVIII, da Lei 14.133/2021, uma vez que o pagamento ocorrerá com base no quantitativo realizado de cada item aferido pela fiscalização. </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Fonts w:cs="Arial" w:ascii="Arial" w:hAnsi="Arial"/>
          <w:bCs/>
        </w:rPr>
        <w:t>2.2. O critério de julgamento será por MENOR PREÇO GLOBAL.</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cs="Arial"/>
          <w:bCs/>
        </w:rPr>
      </w:pPr>
      <w:r>
        <w:rPr>
          <w:rFonts w:cs="Arial" w:ascii="Arial" w:hAnsi="Arial"/>
          <w:bCs/>
        </w:rPr>
        <w:t>2.3. O modo de disputa será ABERTO E FECHADO.</w:t>
      </w:r>
    </w:p>
    <w:p>
      <w:pPr>
        <w:pStyle w:val="ListParagraph"/>
        <w:tabs>
          <w:tab w:val="clear" w:pos="720"/>
          <w:tab w:val="left" w:pos="534" w:leader="none"/>
        </w:tabs>
        <w:ind w:left="0" w:hanging="0"/>
        <w:rPr>
          <w:color w:val="000000"/>
        </w:rPr>
      </w:pPr>
      <w:r>
        <w:rPr>
          <w:color w:val="000000"/>
        </w:rPr>
      </w:r>
    </w:p>
    <w:p>
      <w:pPr>
        <w:pStyle w:val="ListParagraph"/>
        <w:tabs>
          <w:tab w:val="clear" w:pos="720"/>
          <w:tab w:val="left" w:pos="534" w:leader="none"/>
        </w:tabs>
        <w:ind w:left="0" w:hanging="0"/>
        <w:rPr>
          <w:color w:val="000000"/>
        </w:rPr>
      </w:pPr>
      <w:r>
        <w:rPr>
          <w:color w:val="000000"/>
        </w:rPr>
        <w:t xml:space="preserve">2.4. A obra a ser executada, em razão de suas características, esta compreendida na definição de obra especial de engenharia, conforme disposto na NOTA TÉCNICA IBR 001/2021 do IBRAOP – Instituto Brasileiro de Auditoria de Obras Públicas, nos termos do art. 6º, XXI, a, da Lei 14.133/2021. </w:t>
      </w:r>
    </w:p>
    <w:p>
      <w:pPr>
        <w:pStyle w:val="ListParagraph"/>
        <w:tabs>
          <w:tab w:val="clear" w:pos="720"/>
          <w:tab w:val="left" w:pos="534" w:leader="none"/>
        </w:tabs>
        <w:ind w:left="0" w:hanging="0"/>
        <w:rPr>
          <w:color w:val="000000"/>
        </w:rPr>
      </w:pPr>
      <w:r>
        <w:rPr>
          <w:color w:val="000000"/>
        </w:rPr>
      </w:r>
    </w:p>
    <w:p>
      <w:pPr>
        <w:pStyle w:val="Ttulo1"/>
        <w:tabs>
          <w:tab w:val="clear" w:pos="720"/>
          <w:tab w:val="left" w:pos="363" w:leader="none"/>
        </w:tabs>
        <w:spacing w:before="1" w:after="0"/>
        <w:ind w:left="0" w:hanging="0"/>
        <w:rPr>
          <w:sz w:val="22"/>
          <w:szCs w:val="22"/>
        </w:rPr>
      </w:pPr>
      <w:r>
        <w:rPr>
          <w:sz w:val="22"/>
          <w:szCs w:val="22"/>
        </w:rPr>
      </w:r>
    </w:p>
    <w:p>
      <w:pPr>
        <w:pStyle w:val="Ttulo1"/>
        <w:tabs>
          <w:tab w:val="clear" w:pos="720"/>
          <w:tab w:val="left" w:pos="363" w:leader="none"/>
        </w:tabs>
        <w:spacing w:before="1" w:after="0"/>
        <w:ind w:left="0" w:hanging="0"/>
        <w:rPr>
          <w:sz w:val="22"/>
          <w:szCs w:val="22"/>
        </w:rPr>
      </w:pPr>
      <w:r>
        <w:rPr>
          <w:color w:val="000000"/>
          <w:sz w:val="22"/>
          <w:szCs w:val="22"/>
        </w:rPr>
        <w:t>3.  DO VALOR</w:t>
      </w:r>
      <w:r>
        <w:rPr>
          <w:color w:val="000000"/>
          <w:spacing w:val="-9"/>
          <w:sz w:val="22"/>
          <w:szCs w:val="22"/>
        </w:rPr>
        <w:t xml:space="preserve"> </w:t>
      </w:r>
      <w:r>
        <w:rPr>
          <w:color w:val="000000"/>
          <w:sz w:val="22"/>
          <w:szCs w:val="22"/>
        </w:rPr>
        <w:t>ESTIMADO</w:t>
      </w:r>
    </w:p>
    <w:p>
      <w:pPr>
        <w:pStyle w:val="Corpodotexto"/>
        <w:spacing w:before="9" w:after="0"/>
        <w:ind w:left="362" w:hanging="0"/>
        <w:rPr>
          <w:rFonts w:ascii="Arial" w:hAnsi="Arial"/>
          <w:b/>
          <w:b/>
          <w:sz w:val="22"/>
          <w:szCs w:val="22"/>
        </w:rPr>
      </w:pPr>
      <w:r>
        <w:rPr>
          <w:rFonts w:ascii="Arial" w:hAnsi="Arial"/>
          <w:b/>
          <w:sz w:val="22"/>
          <w:szCs w:val="22"/>
        </w:rPr>
      </w:r>
    </w:p>
    <w:p>
      <w:pPr>
        <w:pStyle w:val="ListParagraph"/>
        <w:tabs>
          <w:tab w:val="clear" w:pos="720"/>
          <w:tab w:val="left" w:pos="522" w:leader="none"/>
        </w:tabs>
        <w:ind w:left="0" w:hanging="0"/>
        <w:rPr>
          <w:rFonts w:ascii="Arial" w:hAnsi="Arial"/>
        </w:rPr>
      </w:pPr>
      <w:r>
        <w:rPr>
          <w:rFonts w:ascii="Arial" w:hAnsi="Arial"/>
        </w:rPr>
        <w:t xml:space="preserve">3.1. O valor máximo estimado </w:t>
      </w:r>
      <w:r>
        <w:rPr>
          <w:rFonts w:cs="Arial" w:ascii="Arial" w:hAnsi="Arial"/>
          <w:bCs/>
        </w:rPr>
        <w:t xml:space="preserve">para a presente contratação é de </w:t>
      </w:r>
      <w:r>
        <w:rPr>
          <w:rFonts w:cs="Arial" w:ascii="Arial" w:hAnsi="Arial"/>
          <w:b/>
          <w:bCs/>
        </w:rPr>
        <w:t xml:space="preserve"> R$ 18.004.691,61 (dezoito milhões, quatro mil, seiscentos e noventa e um reais e sessenta e um centavos)</w:t>
      </w:r>
      <w:r>
        <w:rPr>
          <w:rFonts w:ascii="Arial" w:hAnsi="Arial"/>
          <w:bCs/>
        </w:rPr>
        <w:t xml:space="preserve">, </w:t>
      </w:r>
      <w:r>
        <w:rPr>
          <w:rFonts w:cs="Arial" w:ascii="Arial" w:hAnsi="Arial"/>
          <w:bCs/>
        </w:rPr>
        <w:t>conforme Planilha Orçamentária e Projetos constantes dos Anexos deste Edital.</w:t>
      </w:r>
    </w:p>
    <w:p>
      <w:pPr>
        <w:pStyle w:val="ListParagraph"/>
        <w:tabs>
          <w:tab w:val="clear" w:pos="720"/>
          <w:tab w:val="left" w:pos="522" w:leader="none"/>
        </w:tabs>
        <w:ind w:left="0" w:hanging="0"/>
        <w:rPr>
          <w:rFonts w:ascii="Arial" w:hAnsi="Arial"/>
        </w:rPr>
      </w:pPr>
      <w:r>
        <w:rPr>
          <w:rFonts w:ascii="Arial" w:hAnsi="Arial"/>
        </w:rPr>
      </w:r>
    </w:p>
    <w:p>
      <w:pPr>
        <w:pStyle w:val="ListParagraph"/>
        <w:tabs>
          <w:tab w:val="clear" w:pos="720"/>
          <w:tab w:val="left" w:pos="522" w:leader="none"/>
        </w:tabs>
        <w:ind w:left="0" w:hanging="0"/>
        <w:rPr>
          <w:rFonts w:ascii="Arial" w:hAnsi="Arial"/>
        </w:rPr>
      </w:pPr>
      <w:r>
        <w:rPr>
          <w:rFonts w:ascii="Arial" w:hAnsi="Arial"/>
        </w:rPr>
        <w:t>3.2. O</w:t>
      </w:r>
      <w:r>
        <w:rPr>
          <w:rFonts w:ascii="Arial" w:hAnsi="Arial"/>
          <w:spacing w:val="-9"/>
        </w:rPr>
        <w:t xml:space="preserve"> </w:t>
      </w:r>
      <w:r>
        <w:rPr>
          <w:rFonts w:ascii="Arial" w:hAnsi="Arial"/>
        </w:rPr>
        <w:t>Município</w:t>
      </w:r>
      <w:r>
        <w:rPr>
          <w:rFonts w:ascii="Arial" w:hAnsi="Arial"/>
          <w:spacing w:val="-10"/>
        </w:rPr>
        <w:t xml:space="preserve"> </w:t>
      </w:r>
      <w:r>
        <w:rPr>
          <w:rFonts w:ascii="Arial" w:hAnsi="Arial"/>
        </w:rPr>
        <w:t>de</w:t>
      </w:r>
      <w:r>
        <w:rPr>
          <w:rFonts w:ascii="Arial" w:hAnsi="Arial"/>
          <w:spacing w:val="-13"/>
        </w:rPr>
        <w:t xml:space="preserve"> </w:t>
      </w:r>
      <w:r>
        <w:rPr>
          <w:rFonts w:ascii="Arial" w:hAnsi="Arial"/>
        </w:rPr>
        <w:t>Aracruz</w:t>
      </w:r>
      <w:r>
        <w:rPr>
          <w:rFonts w:ascii="Arial" w:hAnsi="Arial"/>
          <w:spacing w:val="-9"/>
        </w:rPr>
        <w:t xml:space="preserve"> </w:t>
      </w:r>
      <w:r>
        <w:rPr>
          <w:rFonts w:ascii="Arial" w:hAnsi="Arial"/>
        </w:rPr>
        <w:t>pagará</w:t>
      </w:r>
      <w:r>
        <w:rPr>
          <w:rFonts w:ascii="Arial" w:hAnsi="Arial"/>
          <w:spacing w:val="-9"/>
        </w:rPr>
        <w:t xml:space="preserve"> </w:t>
      </w:r>
      <w:r>
        <w:rPr>
          <w:rFonts w:ascii="Arial" w:hAnsi="Arial"/>
        </w:rPr>
        <w:t>à</w:t>
      </w:r>
      <w:r>
        <w:rPr>
          <w:rFonts w:ascii="Arial" w:hAnsi="Arial"/>
          <w:spacing w:val="-10"/>
        </w:rPr>
        <w:t xml:space="preserve"> </w:t>
      </w:r>
      <w:r>
        <w:rPr>
          <w:rFonts w:ascii="Arial" w:hAnsi="Arial"/>
        </w:rPr>
        <w:t>contratada</w:t>
      </w:r>
      <w:r>
        <w:rPr>
          <w:rFonts w:ascii="Arial" w:hAnsi="Arial"/>
          <w:spacing w:val="-11"/>
        </w:rPr>
        <w:t xml:space="preserve"> </w:t>
      </w:r>
      <w:r>
        <w:rPr>
          <w:rFonts w:ascii="Arial" w:hAnsi="Arial"/>
        </w:rPr>
        <w:t>pela</w:t>
      </w:r>
      <w:r>
        <w:rPr>
          <w:rFonts w:ascii="Arial" w:hAnsi="Arial"/>
          <w:spacing w:val="-8"/>
        </w:rPr>
        <w:t xml:space="preserve"> </w:t>
      </w:r>
      <w:r>
        <w:rPr>
          <w:rFonts w:ascii="Arial" w:hAnsi="Arial"/>
        </w:rPr>
        <w:t>execução</w:t>
      </w:r>
      <w:r>
        <w:rPr>
          <w:rFonts w:ascii="Arial" w:hAnsi="Arial"/>
          <w:spacing w:val="-11"/>
        </w:rPr>
        <w:t xml:space="preserve"> </w:t>
      </w:r>
      <w:r>
        <w:rPr>
          <w:rFonts w:ascii="Arial" w:hAnsi="Arial"/>
        </w:rPr>
        <w:t>dos</w:t>
      </w:r>
      <w:r>
        <w:rPr>
          <w:rFonts w:ascii="Arial" w:hAnsi="Arial"/>
          <w:spacing w:val="-9"/>
        </w:rPr>
        <w:t xml:space="preserve"> </w:t>
      </w:r>
      <w:r>
        <w:rPr>
          <w:rFonts w:ascii="Arial" w:hAnsi="Arial"/>
        </w:rPr>
        <w:t>serviços</w:t>
      </w:r>
      <w:r>
        <w:rPr>
          <w:rFonts w:ascii="Arial" w:hAnsi="Arial"/>
          <w:spacing w:val="-8"/>
        </w:rPr>
        <w:t xml:space="preserve"> </w:t>
      </w:r>
      <w:r>
        <w:rPr>
          <w:rFonts w:ascii="Arial" w:hAnsi="Arial"/>
        </w:rPr>
        <w:t>os</w:t>
      </w:r>
      <w:r>
        <w:rPr>
          <w:rFonts w:ascii="Arial" w:hAnsi="Arial"/>
          <w:spacing w:val="-9"/>
        </w:rPr>
        <w:t xml:space="preserve"> </w:t>
      </w:r>
      <w:r>
        <w:rPr>
          <w:rFonts w:ascii="Arial" w:hAnsi="Arial"/>
        </w:rPr>
        <w:t>preços</w:t>
      </w:r>
      <w:r>
        <w:rPr>
          <w:rFonts w:ascii="Arial" w:hAnsi="Arial"/>
          <w:spacing w:val="-9"/>
        </w:rPr>
        <w:t xml:space="preserve"> </w:t>
      </w:r>
      <w:r>
        <w:rPr>
          <w:rFonts w:ascii="Arial" w:hAnsi="Arial"/>
        </w:rPr>
        <w:t>estabelecidos</w:t>
      </w:r>
      <w:r>
        <w:rPr>
          <w:rFonts w:ascii="Arial" w:hAnsi="Arial"/>
          <w:spacing w:val="-9"/>
        </w:rPr>
        <w:t xml:space="preserve"> </w:t>
      </w:r>
      <w:r>
        <w:rPr>
          <w:rFonts w:ascii="Arial" w:hAnsi="Arial"/>
        </w:rPr>
        <w:t xml:space="preserve">na </w:t>
      </w:r>
      <w:r>
        <w:rPr>
          <w:rFonts w:ascii="Arial" w:hAnsi="Arial"/>
          <w:spacing w:val="-53"/>
        </w:rPr>
        <w:t xml:space="preserve"> </w:t>
      </w:r>
      <w:r>
        <w:rPr>
          <w:rFonts w:ascii="Arial" w:hAnsi="Arial"/>
        </w:rPr>
        <w:t>planilha</w:t>
      </w:r>
      <w:r>
        <w:rPr>
          <w:rFonts w:ascii="Arial" w:hAnsi="Arial"/>
          <w:spacing w:val="-1"/>
        </w:rPr>
        <w:t xml:space="preserve"> </w:t>
      </w:r>
      <w:r>
        <w:rPr>
          <w:rFonts w:ascii="Arial" w:hAnsi="Arial"/>
        </w:rPr>
        <w:t>orçamentária</w:t>
      </w:r>
      <w:r>
        <w:rPr>
          <w:rFonts w:ascii="Arial" w:hAnsi="Arial"/>
          <w:spacing w:val="2"/>
        </w:rPr>
        <w:t xml:space="preserve"> </w:t>
      </w:r>
      <w:r>
        <w:rPr>
          <w:rFonts w:ascii="Arial" w:hAnsi="Arial"/>
        </w:rPr>
        <w:t>apresentada pela</w:t>
      </w:r>
      <w:r>
        <w:rPr>
          <w:rFonts w:ascii="Arial" w:hAnsi="Arial"/>
          <w:spacing w:val="-2"/>
        </w:rPr>
        <w:t xml:space="preserve"> </w:t>
      </w:r>
      <w:r>
        <w:rPr>
          <w:rFonts w:ascii="Arial" w:hAnsi="Arial"/>
        </w:rPr>
        <w:t>vencedora</w:t>
      </w:r>
      <w:r>
        <w:rPr>
          <w:rFonts w:ascii="Arial" w:hAnsi="Arial"/>
          <w:spacing w:val="2"/>
        </w:rPr>
        <w:t xml:space="preserve"> </w:t>
      </w:r>
      <w:r>
        <w:rPr>
          <w:rFonts w:ascii="Arial" w:hAnsi="Arial"/>
        </w:rPr>
        <w:t>desta</w:t>
      </w:r>
      <w:r>
        <w:rPr>
          <w:rFonts w:ascii="Arial" w:hAnsi="Arial"/>
          <w:spacing w:val="1"/>
        </w:rPr>
        <w:t xml:space="preserve"> </w:t>
      </w:r>
      <w:r>
        <w:rPr>
          <w:rFonts w:ascii="Arial" w:hAnsi="Arial"/>
        </w:rPr>
        <w:t>licitação</w:t>
      </w:r>
      <w:r>
        <w:rPr>
          <w:rFonts w:ascii="Arial" w:hAnsi="Arial"/>
          <w:b/>
        </w:rPr>
        <w:t>.</w:t>
      </w:r>
    </w:p>
    <w:p>
      <w:pPr>
        <w:pStyle w:val="Corpodotexto"/>
        <w:spacing w:before="10" w:after="0"/>
        <w:ind w:left="362" w:hanging="0"/>
        <w:rPr>
          <w:rFonts w:ascii="Arial" w:hAnsi="Arial"/>
          <w:b/>
          <w:b/>
          <w:sz w:val="22"/>
          <w:szCs w:val="22"/>
        </w:rPr>
      </w:pPr>
      <w:r>
        <w:rPr>
          <w:rFonts w:ascii="Arial" w:hAnsi="Arial"/>
          <w:b/>
          <w:sz w:val="22"/>
          <w:szCs w:val="22"/>
        </w:rPr>
      </w:r>
    </w:p>
    <w:p>
      <w:pPr>
        <w:pStyle w:val="ListParagraph"/>
        <w:tabs>
          <w:tab w:val="clear" w:pos="720"/>
          <w:tab w:val="left" w:pos="519" w:leader="none"/>
          <w:tab w:val="left" w:pos="9579" w:leader="none"/>
        </w:tabs>
        <w:spacing w:before="1" w:after="0"/>
        <w:ind w:left="0" w:hanging="0"/>
        <w:rPr>
          <w:rFonts w:ascii="Arial" w:hAnsi="Arial"/>
        </w:rPr>
      </w:pPr>
      <w:r>
        <w:rPr>
          <w:rFonts w:cs="Arial" w:ascii="Arial" w:hAnsi="Arial"/>
          <w:bCs/>
        </w:rPr>
        <w:t>3.3. Nenhum</w:t>
      </w:r>
      <w:r>
        <w:rPr>
          <w:rFonts w:cs="Arial" w:ascii="Arial" w:hAnsi="Arial"/>
          <w:bCs/>
          <w:spacing w:val="-13"/>
        </w:rPr>
        <w:t xml:space="preserve"> </w:t>
      </w:r>
      <w:r>
        <w:rPr>
          <w:rFonts w:cs="Arial" w:ascii="Arial" w:hAnsi="Arial"/>
          <w:bCs/>
        </w:rPr>
        <w:t>preço</w:t>
      </w:r>
      <w:r>
        <w:rPr>
          <w:rFonts w:cs="Arial" w:ascii="Arial" w:hAnsi="Arial"/>
          <w:bCs/>
          <w:spacing w:val="-12"/>
        </w:rPr>
        <w:t xml:space="preserve"> </w:t>
      </w:r>
      <w:r>
        <w:rPr>
          <w:rFonts w:cs="Arial" w:ascii="Arial" w:hAnsi="Arial"/>
          <w:bCs/>
        </w:rPr>
        <w:t>proposto</w:t>
      </w:r>
      <w:r>
        <w:rPr>
          <w:rFonts w:cs="Arial" w:ascii="Arial" w:hAnsi="Arial"/>
          <w:bCs/>
          <w:spacing w:val="-13"/>
        </w:rPr>
        <w:t xml:space="preserve"> </w:t>
      </w:r>
      <w:r>
        <w:rPr>
          <w:rFonts w:cs="Arial" w:ascii="Arial" w:hAnsi="Arial"/>
          <w:bCs/>
        </w:rPr>
        <w:t>poderá</w:t>
      </w:r>
      <w:r>
        <w:rPr>
          <w:rFonts w:cs="Arial" w:ascii="Arial" w:hAnsi="Arial"/>
          <w:bCs/>
          <w:spacing w:val="-12"/>
        </w:rPr>
        <w:t xml:space="preserve"> </w:t>
      </w:r>
      <w:r>
        <w:rPr>
          <w:rFonts w:cs="Arial" w:ascii="Arial" w:hAnsi="Arial"/>
          <w:bCs/>
        </w:rPr>
        <w:t>ultrapassar</w:t>
      </w:r>
      <w:r>
        <w:rPr>
          <w:rFonts w:cs="Arial" w:ascii="Arial" w:hAnsi="Arial"/>
          <w:bCs/>
          <w:spacing w:val="-12"/>
        </w:rPr>
        <w:t xml:space="preserve"> </w:t>
      </w:r>
      <w:r>
        <w:rPr>
          <w:rFonts w:cs="Arial" w:ascii="Arial" w:hAnsi="Arial"/>
          <w:bCs/>
        </w:rPr>
        <w:t>o</w:t>
      </w:r>
      <w:r>
        <w:rPr>
          <w:rFonts w:cs="Arial" w:ascii="Arial" w:hAnsi="Arial"/>
          <w:bCs/>
          <w:spacing w:val="-12"/>
        </w:rPr>
        <w:t xml:space="preserve"> </w:t>
      </w:r>
      <w:r>
        <w:rPr>
          <w:rFonts w:cs="Arial" w:ascii="Arial" w:hAnsi="Arial"/>
          <w:bCs/>
        </w:rPr>
        <w:t>valor</w:t>
      </w:r>
      <w:r>
        <w:rPr>
          <w:rFonts w:cs="Arial" w:ascii="Arial" w:hAnsi="Arial"/>
          <w:bCs/>
          <w:spacing w:val="-10"/>
        </w:rPr>
        <w:t xml:space="preserve"> </w:t>
      </w:r>
      <w:r>
        <w:rPr>
          <w:rFonts w:cs="Arial" w:ascii="Arial" w:hAnsi="Arial"/>
          <w:bCs/>
        </w:rPr>
        <w:t>do</w:t>
      </w:r>
      <w:r>
        <w:rPr>
          <w:rFonts w:cs="Arial" w:ascii="Arial" w:hAnsi="Arial"/>
          <w:bCs/>
          <w:spacing w:val="-12"/>
        </w:rPr>
        <w:t xml:space="preserve"> </w:t>
      </w:r>
      <w:r>
        <w:rPr>
          <w:rFonts w:cs="Arial" w:ascii="Arial" w:hAnsi="Arial"/>
          <w:bCs/>
        </w:rPr>
        <w:t>preço</w:t>
      </w:r>
      <w:r>
        <w:rPr>
          <w:rFonts w:cs="Arial" w:ascii="Arial" w:hAnsi="Arial"/>
          <w:bCs/>
          <w:spacing w:val="-12"/>
        </w:rPr>
        <w:t xml:space="preserve"> </w:t>
      </w:r>
      <w:r>
        <w:rPr>
          <w:rFonts w:cs="Arial" w:ascii="Arial" w:hAnsi="Arial"/>
          <w:bCs/>
        </w:rPr>
        <w:t>unitário</w:t>
      </w:r>
      <w:r>
        <w:rPr>
          <w:rFonts w:cs="Arial" w:ascii="Arial" w:hAnsi="Arial"/>
          <w:bCs/>
          <w:spacing w:val="-13"/>
        </w:rPr>
        <w:t xml:space="preserve"> </w:t>
      </w:r>
      <w:r>
        <w:rPr>
          <w:rFonts w:cs="Arial" w:ascii="Arial" w:hAnsi="Arial"/>
          <w:bCs/>
        </w:rPr>
        <w:t>e</w:t>
      </w:r>
      <w:r>
        <w:rPr>
          <w:rFonts w:cs="Arial" w:ascii="Arial" w:hAnsi="Arial"/>
          <w:bCs/>
          <w:spacing w:val="-12"/>
        </w:rPr>
        <w:t xml:space="preserve"> </w:t>
      </w:r>
      <w:r>
        <w:rPr>
          <w:rFonts w:cs="Arial" w:ascii="Arial" w:hAnsi="Arial"/>
          <w:bCs/>
        </w:rPr>
        <w:t>global</w:t>
      </w:r>
      <w:r>
        <w:rPr>
          <w:rFonts w:cs="Arial" w:ascii="Arial" w:hAnsi="Arial"/>
          <w:bCs/>
          <w:spacing w:val="-13"/>
        </w:rPr>
        <w:t xml:space="preserve"> </w:t>
      </w:r>
      <w:r>
        <w:rPr>
          <w:rFonts w:cs="Arial" w:ascii="Arial" w:hAnsi="Arial"/>
          <w:bCs/>
        </w:rPr>
        <w:t>da</w:t>
      </w:r>
      <w:r>
        <w:rPr>
          <w:rFonts w:cs="Arial" w:ascii="Arial" w:hAnsi="Arial"/>
          <w:bCs/>
          <w:spacing w:val="-12"/>
        </w:rPr>
        <w:t xml:space="preserve"> </w:t>
      </w:r>
      <w:r>
        <w:rPr>
          <w:rFonts w:cs="Arial" w:ascii="Arial" w:hAnsi="Arial"/>
          <w:bCs/>
        </w:rPr>
        <w:t>planilha</w:t>
      </w:r>
      <w:r>
        <w:rPr>
          <w:rFonts w:cs="Arial" w:ascii="Arial" w:hAnsi="Arial"/>
          <w:bCs/>
          <w:spacing w:val="-13"/>
        </w:rPr>
        <w:t xml:space="preserve"> </w:t>
      </w:r>
      <w:r>
        <w:rPr>
          <w:rFonts w:cs="Arial" w:ascii="Arial" w:hAnsi="Arial"/>
          <w:bCs/>
        </w:rPr>
        <w:t>orçamentária</w:t>
      </w:r>
      <w:r>
        <w:rPr>
          <w:rFonts w:cs="Arial" w:ascii="Arial" w:hAnsi="Arial"/>
          <w:bCs/>
          <w:spacing w:val="-53"/>
        </w:rPr>
        <w:t xml:space="preserve"> </w:t>
      </w:r>
      <w:r>
        <w:rPr>
          <w:rFonts w:cs="Arial" w:ascii="Arial" w:hAnsi="Arial"/>
          <w:bCs/>
        </w:rPr>
        <w:t>anexa ao</w:t>
      </w:r>
      <w:r>
        <w:rPr>
          <w:rFonts w:cs="Arial" w:ascii="Arial" w:hAnsi="Arial"/>
          <w:bCs/>
          <w:spacing w:val="-1"/>
        </w:rPr>
        <w:t xml:space="preserve"> </w:t>
      </w:r>
      <w:r>
        <w:rPr>
          <w:rFonts w:cs="Arial" w:ascii="Arial" w:hAnsi="Arial"/>
          <w:bCs/>
        </w:rPr>
        <w:t>presente</w:t>
      </w:r>
      <w:r>
        <w:rPr>
          <w:rFonts w:cs="Arial" w:ascii="Arial" w:hAnsi="Arial"/>
          <w:bCs/>
          <w:spacing w:val="1"/>
        </w:rPr>
        <w:t xml:space="preserve"> </w:t>
      </w:r>
      <w:r>
        <w:rPr>
          <w:rFonts w:cs="Arial" w:ascii="Arial" w:hAnsi="Arial"/>
          <w:bCs/>
        </w:rPr>
        <w:t>edital.</w:t>
      </w:r>
    </w:p>
    <w:p>
      <w:pPr>
        <w:pStyle w:val="ListParagraph"/>
        <w:tabs>
          <w:tab w:val="clear" w:pos="720"/>
          <w:tab w:val="left" w:pos="534" w:leader="none"/>
        </w:tabs>
        <w:ind w:left="0"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Fonts w:ascii="Arial" w:hAnsi="Arial"/>
        </w:rPr>
      </w:r>
    </w:p>
    <w:p>
      <w:pPr>
        <w:pStyle w:val="ListParagraph"/>
        <w:tabs>
          <w:tab w:val="clear" w:pos="720"/>
          <w:tab w:val="left" w:pos="534" w:leader="none"/>
        </w:tabs>
        <w:ind w:left="0" w:right="686" w:hanging="0"/>
        <w:rPr>
          <w:rFonts w:ascii="Arial" w:hAnsi="Arial"/>
        </w:rPr>
      </w:pPr>
      <w:r>
        <w:rPr>
          <w:rFonts w:cs="Arial" w:ascii="Arial" w:hAnsi="Arial"/>
          <w:b/>
        </w:rPr>
        <w:t>4. DOS RECURSOS ORÇAMENTÁRIOS</w:t>
      </w:r>
    </w:p>
    <w:p>
      <w:pPr>
        <w:pStyle w:val="ListParagraph"/>
        <w:tabs>
          <w:tab w:val="clear" w:pos="720"/>
          <w:tab w:val="left" w:pos="534" w:leader="none"/>
        </w:tabs>
        <w:ind w:left="142" w:right="686"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eastAsia="Arial" w:cs="Arial" w:ascii="Arial" w:hAnsi="Arial"/>
        </w:rPr>
        <w:t xml:space="preserve">4.1. As despesas para atender a esta licitação correrão à conta da dotação orçamentária da Secretaria Municipal de Obras e será inserida no exercício seguinte. </w:t>
      </w:r>
    </w:p>
    <w:p>
      <w:pPr>
        <w:pStyle w:val="ListParagraph"/>
        <w:tabs>
          <w:tab w:val="clear" w:pos="720"/>
          <w:tab w:val="left" w:pos="534" w:leader="none"/>
        </w:tabs>
        <w:ind w:left="0" w:hanging="0"/>
        <w:rPr>
          <w:rFonts w:ascii="Arial" w:hAnsi="Arial"/>
        </w:rPr>
      </w:pPr>
      <w:r>
        <w:rPr>
          <w:rFonts w:ascii="Arial" w:hAnsi="Arial"/>
        </w:rPr>
      </w:r>
    </w:p>
    <w:p>
      <w:pPr>
        <w:pStyle w:val="ListParagraph"/>
        <w:tabs>
          <w:tab w:val="clear" w:pos="720"/>
          <w:tab w:val="left" w:pos="534" w:leader="none"/>
        </w:tabs>
        <w:ind w:left="0" w:hanging="0"/>
        <w:rPr>
          <w:rFonts w:ascii="Arial" w:hAnsi="Arial"/>
        </w:rPr>
      </w:pPr>
      <w:r>
        <w:rPr>
          <w:rFonts w:ascii="Arial" w:hAnsi="Arial"/>
        </w:rPr>
      </w:r>
    </w:p>
    <w:p>
      <w:pPr>
        <w:pStyle w:val="Normal"/>
        <w:jc w:val="both"/>
        <w:rPr>
          <w:rFonts w:ascii="Arial" w:hAnsi="Arial"/>
        </w:rPr>
      </w:pPr>
      <w:r>
        <w:rPr>
          <w:rFonts w:cs="Arial" w:ascii="Arial" w:hAnsi="Arial"/>
          <w:b/>
        </w:rPr>
        <w:t>5. DA DISPONIBILIZAÇÃO DO EDITAL</w:t>
      </w:r>
    </w:p>
    <w:p>
      <w:pPr>
        <w:pStyle w:val="Normal"/>
        <w:jc w:val="both"/>
        <w:rPr>
          <w:rFonts w:ascii="Arial" w:hAnsi="Arial" w:cs="Arial"/>
          <w:b/>
          <w:b/>
        </w:rPr>
      </w:pPr>
      <w:r>
        <w:rPr>
          <w:rFonts w:cs="Arial" w:ascii="Arial" w:hAnsi="Arial"/>
          <w:b/>
        </w:rPr>
      </w:r>
    </w:p>
    <w:p>
      <w:pPr>
        <w:pStyle w:val="Normal"/>
        <w:tabs>
          <w:tab w:val="clear" w:pos="720"/>
          <w:tab w:val="left" w:pos="534" w:leader="none"/>
        </w:tabs>
        <w:jc w:val="both"/>
        <w:rPr/>
      </w:pPr>
      <w:r>
        <w:rPr>
          <w:rFonts w:eastAsia="Arial" w:cs="Arial" w:ascii="Arial" w:hAnsi="Arial"/>
        </w:rPr>
        <w:t>5.1. O Edital e os documentos que integram o Edital serão disponibilizados somente em mídia digital a serem retirados no sistema “BLL”, provido pela Bolsa de Licitações do Brasil – BLL (</w:t>
      </w:r>
      <w:hyperlink r:id="rId3">
        <w:r>
          <w:rPr>
            <w:rStyle w:val="LinkdaInternet"/>
            <w:rFonts w:eastAsia="Arial" w:cs="Arial" w:ascii="Arial" w:hAnsi="Arial"/>
          </w:rPr>
          <w:t>http://bll.org.br/</w:t>
        </w:r>
      </w:hyperlink>
      <w:r>
        <w:rPr>
          <w:rFonts w:eastAsia="Arial" w:cs="Arial" w:ascii="Arial" w:hAnsi="Arial"/>
        </w:rPr>
        <w:t xml:space="preserve">), bem como no endereço </w:t>
      </w:r>
      <w:hyperlink r:id="rId4">
        <w:r>
          <w:rPr>
            <w:rStyle w:val="LinkdaInternet"/>
            <w:rFonts w:eastAsia="Arial" w:cs="Arial" w:ascii="Arial" w:hAnsi="Arial"/>
            <w:color w:val="000009"/>
            <w:spacing w:val="1"/>
          </w:rPr>
          <w:t>http://www.pma.es.gov.br/licitacoes/</w:t>
        </w:r>
      </w:hyperlink>
      <w:r>
        <w:rPr>
          <w:rStyle w:val="LinkdaInternet"/>
          <w:rFonts w:eastAsia="Arial" w:cs="Arial" w:ascii="Arial" w:hAnsi="Arial"/>
          <w:color w:val="000009"/>
          <w:spacing w:val="1"/>
        </w:rPr>
        <w:t>.</w:t>
      </w:r>
    </w:p>
    <w:p>
      <w:pPr>
        <w:pStyle w:val="Normal"/>
        <w:tabs>
          <w:tab w:val="clear" w:pos="720"/>
          <w:tab w:val="left" w:pos="534" w:leader="none"/>
        </w:tabs>
        <w:ind w:right="686" w:hanging="0"/>
        <w:jc w:val="both"/>
        <w:rPr>
          <w:rFonts w:ascii="Arial" w:hAnsi="Arial" w:cs="Arial"/>
          <w:b/>
          <w:b/>
        </w:rPr>
      </w:pPr>
      <w:r>
        <w:rPr>
          <w:rFonts w:cs="Arial" w:ascii="Arial" w:hAnsi="Arial"/>
          <w:b/>
        </w:rPr>
      </w:r>
    </w:p>
    <w:p>
      <w:pPr>
        <w:pStyle w:val="ListParagraph"/>
        <w:tabs>
          <w:tab w:val="clear" w:pos="720"/>
          <w:tab w:val="left" w:pos="589" w:leader="none"/>
        </w:tabs>
        <w:spacing w:before="11" w:after="0"/>
        <w:ind w:left="0" w:hanging="0"/>
        <w:rPr>
          <w:rFonts w:ascii="Arial" w:hAnsi="Arial"/>
        </w:rPr>
      </w:pPr>
      <w:r>
        <w:rPr>
          <w:rFonts w:eastAsia="Arial" w:cs="Arial" w:ascii="Arial" w:hAnsi="Arial"/>
          <w:color w:val="000009"/>
        </w:rPr>
        <w:t>5.2. Somente</w:t>
      </w:r>
      <w:r>
        <w:rPr>
          <w:rFonts w:eastAsia="Arial" w:cs="Arial" w:ascii="Arial" w:hAnsi="Arial"/>
          <w:color w:val="000009"/>
          <w:spacing w:val="1"/>
        </w:rPr>
        <w:t xml:space="preserve"> </w:t>
      </w:r>
      <w:r>
        <w:rPr>
          <w:rFonts w:eastAsia="Arial" w:cs="Arial" w:ascii="Arial" w:hAnsi="Arial"/>
          <w:color w:val="000009"/>
        </w:rPr>
        <w:t>a</w:t>
      </w:r>
      <w:r>
        <w:rPr>
          <w:rFonts w:eastAsia="Arial" w:cs="Arial" w:ascii="Arial" w:hAnsi="Arial"/>
          <w:color w:val="000009"/>
          <w:spacing w:val="1"/>
        </w:rPr>
        <w:t xml:space="preserve"> </w:t>
      </w:r>
      <w:r>
        <w:rPr>
          <w:rFonts w:eastAsia="Arial" w:cs="Arial" w:ascii="Arial" w:hAnsi="Arial"/>
          <w:color w:val="000009"/>
        </w:rPr>
        <w:t>Comissão</w:t>
      </w:r>
      <w:r>
        <w:rPr>
          <w:rFonts w:eastAsia="Arial" w:cs="Arial" w:ascii="Arial" w:hAnsi="Arial"/>
          <w:color w:val="000009"/>
          <w:spacing w:val="1"/>
        </w:rPr>
        <w:t xml:space="preserve"> </w:t>
      </w:r>
      <w:r>
        <w:rPr>
          <w:rFonts w:eastAsia="Arial" w:cs="Arial" w:ascii="Arial" w:hAnsi="Arial"/>
          <w:color w:val="000009"/>
        </w:rPr>
        <w:t>Permanente</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Licitação</w:t>
      </w:r>
      <w:r>
        <w:rPr>
          <w:rFonts w:eastAsia="Arial" w:cs="Arial" w:ascii="Arial" w:hAnsi="Arial"/>
          <w:color w:val="000009"/>
          <w:spacing w:val="1"/>
        </w:rPr>
        <w:t xml:space="preserve"> </w:t>
      </w:r>
      <w:r>
        <w:rPr>
          <w:rFonts w:eastAsia="Arial" w:cs="Arial" w:ascii="Arial" w:hAnsi="Arial"/>
          <w:color w:val="000009"/>
        </w:rPr>
        <w:t>da</w:t>
      </w:r>
      <w:r>
        <w:rPr>
          <w:rFonts w:eastAsia="Arial" w:cs="Arial" w:ascii="Arial" w:hAnsi="Arial"/>
          <w:color w:val="000009"/>
          <w:spacing w:val="1"/>
        </w:rPr>
        <w:t xml:space="preserve"> </w:t>
      </w:r>
      <w:r>
        <w:rPr>
          <w:rFonts w:eastAsia="Arial" w:cs="Arial" w:ascii="Arial" w:hAnsi="Arial"/>
          <w:color w:val="000009"/>
        </w:rPr>
        <w:t>CPL/SEMSU,</w:t>
      </w:r>
      <w:r>
        <w:rPr>
          <w:rFonts w:eastAsia="Arial" w:cs="Arial" w:ascii="Arial" w:hAnsi="Arial"/>
          <w:color w:val="000009"/>
          <w:spacing w:val="1"/>
        </w:rPr>
        <w:t xml:space="preserve"> </w:t>
      </w:r>
      <w:r>
        <w:rPr>
          <w:rFonts w:eastAsia="Arial" w:cs="Arial" w:ascii="Arial" w:hAnsi="Arial"/>
          <w:color w:val="000009"/>
        </w:rPr>
        <w:t>devidamente</w:t>
      </w:r>
      <w:r>
        <w:rPr>
          <w:rFonts w:eastAsia="Arial" w:cs="Arial" w:ascii="Arial" w:hAnsi="Arial"/>
          <w:color w:val="000009"/>
          <w:spacing w:val="1"/>
        </w:rPr>
        <w:t xml:space="preserve"> </w:t>
      </w:r>
      <w:r>
        <w:rPr>
          <w:rFonts w:eastAsia="Arial" w:cs="Arial" w:ascii="Arial" w:hAnsi="Arial"/>
          <w:color w:val="000009"/>
        </w:rPr>
        <w:t>instituída,</w:t>
      </w:r>
      <w:r>
        <w:rPr>
          <w:rFonts w:eastAsia="Arial" w:cs="Arial" w:ascii="Arial" w:hAnsi="Arial"/>
          <w:color w:val="000009"/>
          <w:spacing w:val="1"/>
        </w:rPr>
        <w:t xml:space="preserve"> </w:t>
      </w:r>
      <w:r>
        <w:rPr>
          <w:rFonts w:eastAsia="Arial" w:cs="Arial" w:ascii="Arial" w:hAnsi="Arial"/>
          <w:color w:val="000009"/>
        </w:rPr>
        <w:t>está</w:t>
      </w:r>
      <w:r>
        <w:rPr>
          <w:rFonts w:eastAsia="Arial" w:cs="Arial" w:ascii="Arial" w:hAnsi="Arial"/>
          <w:color w:val="000009"/>
          <w:spacing w:val="-53"/>
        </w:rPr>
        <w:t xml:space="preserve"> </w:t>
      </w:r>
      <w:r>
        <w:rPr>
          <w:rFonts w:eastAsia="Arial" w:cs="Arial" w:ascii="Arial" w:hAnsi="Arial"/>
          <w:color w:val="000009"/>
          <w:spacing w:val="-1"/>
        </w:rPr>
        <w:t>autorizada</w:t>
      </w:r>
      <w:r>
        <w:rPr>
          <w:rFonts w:eastAsia="Arial" w:cs="Arial" w:ascii="Arial" w:hAnsi="Arial"/>
          <w:color w:val="000009"/>
          <w:spacing w:val="-12"/>
        </w:rPr>
        <w:t xml:space="preserve"> </w:t>
      </w:r>
      <w:r>
        <w:rPr>
          <w:rFonts w:eastAsia="Arial" w:cs="Arial" w:ascii="Arial" w:hAnsi="Arial"/>
          <w:color w:val="000009"/>
          <w:spacing w:val="-1"/>
        </w:rPr>
        <w:t>a</w:t>
      </w:r>
      <w:r>
        <w:rPr>
          <w:rFonts w:eastAsia="Arial" w:cs="Arial" w:ascii="Arial" w:hAnsi="Arial"/>
          <w:color w:val="000009"/>
          <w:spacing w:val="-12"/>
        </w:rPr>
        <w:t xml:space="preserve"> </w:t>
      </w:r>
      <w:r>
        <w:rPr>
          <w:rFonts w:eastAsia="Arial" w:cs="Arial" w:ascii="Arial" w:hAnsi="Arial"/>
          <w:color w:val="000009"/>
          <w:spacing w:val="-1"/>
        </w:rPr>
        <w:t>prestar,</w:t>
      </w:r>
      <w:r>
        <w:rPr>
          <w:rFonts w:eastAsia="Arial" w:cs="Arial" w:ascii="Arial" w:hAnsi="Arial"/>
          <w:color w:val="000009"/>
          <w:spacing w:val="-12"/>
        </w:rPr>
        <w:t xml:space="preserve"> </w:t>
      </w:r>
      <w:r>
        <w:rPr>
          <w:rFonts w:eastAsia="Arial" w:cs="Arial" w:ascii="Arial" w:hAnsi="Arial"/>
          <w:color w:val="000009"/>
          <w:spacing w:val="-1"/>
        </w:rPr>
        <w:t>oficialmente,</w:t>
      </w:r>
      <w:r>
        <w:rPr>
          <w:rFonts w:eastAsia="Arial" w:cs="Arial" w:ascii="Arial" w:hAnsi="Arial"/>
          <w:color w:val="000009"/>
          <w:spacing w:val="-11"/>
        </w:rPr>
        <w:t xml:space="preserve"> </w:t>
      </w:r>
      <w:r>
        <w:rPr>
          <w:rFonts w:eastAsia="Arial" w:cs="Arial" w:ascii="Arial" w:hAnsi="Arial"/>
          <w:color w:val="000009"/>
        </w:rPr>
        <w:t>informações</w:t>
      </w:r>
      <w:r>
        <w:rPr>
          <w:rFonts w:eastAsia="Arial" w:cs="Arial" w:ascii="Arial" w:hAnsi="Arial"/>
          <w:color w:val="000009"/>
          <w:spacing w:val="-10"/>
        </w:rPr>
        <w:t xml:space="preserve"> </w:t>
      </w:r>
      <w:r>
        <w:rPr>
          <w:rFonts w:eastAsia="Arial" w:cs="Arial" w:ascii="Arial" w:hAnsi="Arial"/>
          <w:color w:val="000009"/>
        </w:rPr>
        <w:t>ou</w:t>
      </w:r>
      <w:r>
        <w:rPr>
          <w:rFonts w:eastAsia="Arial" w:cs="Arial" w:ascii="Arial" w:hAnsi="Arial"/>
          <w:color w:val="000009"/>
          <w:spacing w:val="-12"/>
        </w:rPr>
        <w:t xml:space="preserve"> </w:t>
      </w:r>
      <w:r>
        <w:rPr>
          <w:rFonts w:eastAsia="Arial" w:cs="Arial" w:ascii="Arial" w:hAnsi="Arial"/>
          <w:color w:val="000009"/>
        </w:rPr>
        <w:t>esclarecimentos</w:t>
      </w:r>
      <w:r>
        <w:rPr>
          <w:rFonts w:eastAsia="Arial" w:cs="Arial" w:ascii="Arial" w:hAnsi="Arial"/>
          <w:color w:val="000009"/>
          <w:spacing w:val="-10"/>
        </w:rPr>
        <w:t xml:space="preserve"> </w:t>
      </w:r>
      <w:r>
        <w:rPr>
          <w:rFonts w:eastAsia="Arial" w:cs="Arial" w:ascii="Arial" w:hAnsi="Arial"/>
          <w:color w:val="000009"/>
        </w:rPr>
        <w:t>a</w:t>
      </w:r>
      <w:r>
        <w:rPr>
          <w:rFonts w:eastAsia="Arial" w:cs="Arial" w:ascii="Arial" w:hAnsi="Arial"/>
          <w:color w:val="000009"/>
          <w:spacing w:val="-14"/>
        </w:rPr>
        <w:t xml:space="preserve"> </w:t>
      </w:r>
      <w:r>
        <w:rPr>
          <w:rFonts w:eastAsia="Arial" w:cs="Arial" w:ascii="Arial" w:hAnsi="Arial"/>
          <w:color w:val="000009"/>
        </w:rPr>
        <w:t>respeito</w:t>
      </w:r>
      <w:r>
        <w:rPr>
          <w:rFonts w:eastAsia="Arial" w:cs="Arial" w:ascii="Arial" w:hAnsi="Arial"/>
          <w:color w:val="000009"/>
          <w:spacing w:val="-13"/>
        </w:rPr>
        <w:t xml:space="preserve"> </w:t>
      </w:r>
      <w:r>
        <w:rPr>
          <w:rFonts w:eastAsia="Arial" w:cs="Arial" w:ascii="Arial" w:hAnsi="Arial"/>
          <w:color w:val="000009"/>
        </w:rPr>
        <w:t>desta</w:t>
      </w:r>
      <w:r>
        <w:rPr>
          <w:rFonts w:eastAsia="Arial" w:cs="Arial" w:ascii="Arial" w:hAnsi="Arial"/>
          <w:color w:val="000009"/>
          <w:spacing w:val="-14"/>
        </w:rPr>
        <w:t xml:space="preserve"> </w:t>
      </w:r>
      <w:r>
        <w:rPr>
          <w:rFonts w:eastAsia="Arial" w:cs="Arial" w:ascii="Arial" w:hAnsi="Arial"/>
          <w:color w:val="000009"/>
        </w:rPr>
        <w:t>licitação.</w:t>
      </w:r>
      <w:r>
        <w:rPr>
          <w:rFonts w:eastAsia="Arial" w:cs="Arial" w:ascii="Arial" w:hAnsi="Arial"/>
          <w:color w:val="000009"/>
          <w:spacing w:val="-14"/>
        </w:rPr>
        <w:t xml:space="preserve"> </w:t>
      </w:r>
      <w:r>
        <w:rPr>
          <w:rFonts w:eastAsia="Arial" w:cs="Arial" w:ascii="Arial" w:hAnsi="Arial"/>
          <w:color w:val="000009"/>
        </w:rPr>
        <w:t>As</w:t>
      </w:r>
      <w:r>
        <w:rPr>
          <w:rFonts w:eastAsia="Arial" w:cs="Arial" w:ascii="Arial" w:hAnsi="Arial"/>
          <w:color w:val="000009"/>
          <w:spacing w:val="-9"/>
        </w:rPr>
        <w:t xml:space="preserve"> </w:t>
      </w:r>
      <w:r>
        <w:rPr>
          <w:rFonts w:eastAsia="Arial" w:cs="Arial" w:ascii="Arial" w:hAnsi="Arial"/>
          <w:color w:val="000009"/>
        </w:rPr>
        <w:t>eventuais</w:t>
      </w:r>
      <w:r>
        <w:rPr>
          <w:rFonts w:eastAsia="Arial" w:cs="Arial" w:ascii="Arial" w:hAnsi="Arial"/>
          <w:color w:val="000009"/>
          <w:spacing w:val="-54"/>
        </w:rPr>
        <w:t xml:space="preserve"> </w:t>
      </w:r>
      <w:r>
        <w:rPr>
          <w:rFonts w:eastAsia="Arial" w:cs="Arial" w:ascii="Arial" w:hAnsi="Arial"/>
          <w:color w:val="000009"/>
        </w:rPr>
        <w:t>informações</w:t>
      </w:r>
      <w:r>
        <w:rPr>
          <w:rFonts w:eastAsia="Arial" w:cs="Arial" w:ascii="Arial" w:hAnsi="Arial"/>
          <w:color w:val="000009"/>
          <w:spacing w:val="-1"/>
        </w:rPr>
        <w:t xml:space="preserve"> </w:t>
      </w:r>
      <w:r>
        <w:rPr>
          <w:rFonts w:eastAsia="Arial" w:cs="Arial" w:ascii="Arial" w:hAnsi="Arial"/>
          <w:color w:val="000009"/>
        </w:rPr>
        <w:t>de</w:t>
      </w:r>
      <w:r>
        <w:rPr>
          <w:rFonts w:eastAsia="Arial" w:cs="Arial" w:ascii="Arial" w:hAnsi="Arial"/>
          <w:color w:val="000009"/>
          <w:spacing w:val="-1"/>
        </w:rPr>
        <w:t xml:space="preserve"> </w:t>
      </w:r>
      <w:r>
        <w:rPr>
          <w:rFonts w:eastAsia="Arial" w:cs="Arial" w:ascii="Arial" w:hAnsi="Arial"/>
          <w:color w:val="000009"/>
        </w:rPr>
        <w:t>outras fontes</w:t>
      </w:r>
      <w:r>
        <w:rPr>
          <w:rFonts w:eastAsia="Arial" w:cs="Arial" w:ascii="Arial" w:hAnsi="Arial"/>
          <w:color w:val="000009"/>
          <w:spacing w:val="-1"/>
        </w:rPr>
        <w:t xml:space="preserve"> </w:t>
      </w:r>
      <w:r>
        <w:rPr>
          <w:rFonts w:eastAsia="Arial" w:cs="Arial" w:ascii="Arial" w:hAnsi="Arial"/>
          <w:color w:val="000009"/>
        </w:rPr>
        <w:t>não</w:t>
      </w:r>
      <w:r>
        <w:rPr>
          <w:rFonts w:eastAsia="Arial" w:cs="Arial" w:ascii="Arial" w:hAnsi="Arial"/>
          <w:color w:val="000009"/>
          <w:spacing w:val="1"/>
        </w:rPr>
        <w:t xml:space="preserve"> </w:t>
      </w:r>
      <w:r>
        <w:rPr>
          <w:rFonts w:eastAsia="Arial" w:cs="Arial" w:ascii="Arial" w:hAnsi="Arial"/>
          <w:color w:val="000009"/>
        </w:rPr>
        <w:t>deverão</w:t>
      </w:r>
      <w:r>
        <w:rPr>
          <w:rFonts w:eastAsia="Arial" w:cs="Arial" w:ascii="Arial" w:hAnsi="Arial"/>
          <w:color w:val="000009"/>
          <w:spacing w:val="-1"/>
        </w:rPr>
        <w:t xml:space="preserve"> </w:t>
      </w:r>
      <w:r>
        <w:rPr>
          <w:rFonts w:eastAsia="Arial" w:cs="Arial" w:ascii="Arial" w:hAnsi="Arial"/>
          <w:color w:val="000009"/>
        </w:rPr>
        <w:t>ser</w:t>
      </w:r>
      <w:r>
        <w:rPr>
          <w:rFonts w:eastAsia="Arial" w:cs="Arial" w:ascii="Arial" w:hAnsi="Arial"/>
          <w:color w:val="000009"/>
          <w:spacing w:val="-1"/>
        </w:rPr>
        <w:t xml:space="preserve"> </w:t>
      </w:r>
      <w:r>
        <w:rPr>
          <w:rFonts w:eastAsia="Arial" w:cs="Arial" w:ascii="Arial" w:hAnsi="Arial"/>
          <w:color w:val="000009"/>
        </w:rPr>
        <w:t>consideradas</w:t>
      </w:r>
      <w:r>
        <w:rPr>
          <w:rFonts w:eastAsia="Arial" w:cs="Arial" w:ascii="Arial" w:hAnsi="Arial"/>
          <w:color w:val="000009"/>
          <w:spacing w:val="-1"/>
        </w:rPr>
        <w:t xml:space="preserve"> </w:t>
      </w:r>
      <w:r>
        <w:rPr>
          <w:rFonts w:eastAsia="Arial" w:cs="Arial" w:ascii="Arial" w:hAnsi="Arial"/>
          <w:color w:val="000009"/>
        </w:rPr>
        <w:t>como</w:t>
      </w:r>
      <w:r>
        <w:rPr>
          <w:rFonts w:eastAsia="Arial" w:cs="Arial" w:ascii="Arial" w:hAnsi="Arial"/>
          <w:color w:val="000009"/>
          <w:spacing w:val="-1"/>
        </w:rPr>
        <w:t xml:space="preserve"> </w:t>
      </w:r>
      <w:r>
        <w:rPr>
          <w:rFonts w:eastAsia="Arial" w:cs="Arial" w:ascii="Arial" w:hAnsi="Arial"/>
          <w:color w:val="000009"/>
        </w:rPr>
        <w:t>oficiais.</w:t>
      </w:r>
    </w:p>
    <w:p>
      <w:pPr>
        <w:pStyle w:val="Normal"/>
        <w:tabs>
          <w:tab w:val="clear" w:pos="720"/>
          <w:tab w:val="left" w:pos="534" w:leader="none"/>
        </w:tabs>
        <w:ind w:right="686" w:hanging="0"/>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6. DA IMPUGNAÇÃO AO EDITAL E DO PEDIDO DE ESCLARECIMENTO</w:t>
      </w:r>
    </w:p>
    <w:p>
      <w:pPr>
        <w:pStyle w:val="Normal"/>
        <w:jc w:val="both"/>
        <w:rPr>
          <w:rFonts w:ascii="Arial" w:hAnsi="Arial" w:cs="Arial"/>
          <w:b/>
          <w:b/>
        </w:rPr>
      </w:pPr>
      <w:r>
        <w:rPr>
          <w:rFonts w:cs="Arial" w:ascii="Arial" w:hAnsi="Arial"/>
          <w:b/>
        </w:rPr>
      </w:r>
    </w:p>
    <w:p>
      <w:pPr>
        <w:pStyle w:val="Normal"/>
        <w:jc w:val="both"/>
        <w:rPr>
          <w:rFonts w:ascii="Arial" w:hAnsi="Arial"/>
        </w:rPr>
      </w:pPr>
      <w:r>
        <w:rPr>
          <w:rFonts w:eastAsia="Arial" w:cs="Arial" w:ascii="Arial" w:hAnsi="Arial"/>
        </w:rPr>
        <w:t>6.1. Qualquer pessoa é parte legítima para impugnar este Edital por irregularidade na aplicação da Lei nº 14.133, de 2021, devendo protocolar o pedido até 3 (três) dias úteis antes da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6.2. A resposta à impugnação ou ao pedido de esclarecimento será divulgado em sítio eletrônico oficial do Município e no sistema no prazo de até 3 (três) dias úteis, limitado ao último dia útil anterior à data da abertura do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6.3. A impugnação e o pedido de esclarecimento poderão ser realizados por forma eletrônica, em campo próprio do Sistema BLL no endereço eletrônico http://bll.org.br/, ou pelo e-mail: licitacao@aracruz.es.gov.br, podendo ser anexados documentos digitalizados em formato “pdf”.</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 As impugnações e pedidos de esclarecimentos não suspendem os prazos previstos no certame.</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6.4.1. A concessão de efeito suspensivo à impugnação é medida excepcional e deverá ser motivada pelo agente de contratação, nos autos do processo de licitação.</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6.5. Acolhida a impugnação contra o edital de licitação, será definida e publicada nova data para realização do certame, exceto quando, inquestionavelmente, a alteração não afetar a formulação de propostas.</w:t>
      </w:r>
    </w:p>
    <w:p>
      <w:pPr>
        <w:pStyle w:val="Normal"/>
        <w:jc w:val="both"/>
        <w:rPr>
          <w:rFonts w:ascii="Arial" w:hAnsi="Arial"/>
        </w:rPr>
      </w:pPr>
      <w:r>
        <w:rPr>
          <w:rFonts w:ascii="Arial" w:hAnsi="Arial"/>
        </w:rPr>
      </w:r>
    </w:p>
    <w:p>
      <w:pPr>
        <w:pStyle w:val="Normal"/>
        <w:jc w:val="both"/>
        <w:rPr>
          <w:rFonts w:ascii="Arial" w:hAnsi="Arial"/>
        </w:rPr>
      </w:pPr>
      <w:r>
        <w:rPr>
          <w:rFonts w:eastAsia="Arial" w:cs="Arial" w:ascii="Arial" w:hAnsi="Arial"/>
        </w:rPr>
        <w:t>6.6. Não serão conhecidas às impugnações, solicitações de esclarecimento e os recursos apresentados fora do prazo legal e/ou subscritos por representante não habilitado legalmente ou não identificado no processo para responder pelo proponente.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 xml:space="preserve">7. DAS CONDIÇÕES DE PARTICIPAÇÃO </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7.1. Poderão participar deste certame qualquer pessoa jurídica legalmente estabelecida no País, que atenda às exigências deste Edital e seus Anexos, que esteja devidamente credenciada, munida de chave de identificação e de senha, cujo ramo de atividade seja compatível com o objeto da licitação e que satisfaçam as condições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7.2. Estão impedidos de participar de qualquer fase do processo, interessados que se enquadrarem em um</w:t>
      </w:r>
      <w:r>
        <w:rPr>
          <w:rFonts w:cs="Arial" w:ascii="Arial" w:hAnsi="Arial"/>
          <w:color w:val="000000"/>
        </w:rPr>
        <w:t>a ou mais das situações a seguir:</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7.2.1. Que não atendam às condições deste Edital e seus anexos;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7.2.2. Sociedade que desempenhe atividade incompatível com o objeto 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7.2.3. Estrangeiros que não tenham representação legal no Brasil com poderes expressos para receber citação e responder administrativa ou judicialmente;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7.2.4. autor do anteprojeto, do projeto básico ou do projeto executivo, pessoa física ou jurídica, quando a licitação versar sobre serviços ou fornecimento de bens a ele relacionados;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7.2.5.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7.2.6. pessoa física ou jurídica que se encontre, ao tempo da licitação, impossibilitada de participar da licitação em decorrência de sanção que lhe foi imposta;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7.2.7.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7.2.8. empresas controladoras, controladas ou coligadas, nos termos da Lei nº 6.404, de 15 de dezembro de 1976, concorrendo entre si;</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7.2.9.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7.2.10. Consórcio ou grupo de firmas ou qualquer outra modalidade de interdependência entre firmas licitantes, já que não se trata de obra de grande vulto, tampouco inexiste qualquer complexidade técnica, o que acaba por permitir a participação de um maior número de interessados.</w:t>
      </w:r>
    </w:p>
    <w:p>
      <w:pPr>
        <w:pStyle w:val="Normal"/>
        <w:jc w:val="both"/>
        <w:rPr>
          <w:rFonts w:ascii="Arial" w:hAnsi="Arial" w:cs="Arial"/>
        </w:rPr>
      </w:pPr>
      <w:r>
        <w:rPr>
          <w:rFonts w:cs="Arial" w:ascii="Arial" w:hAnsi="Arial"/>
        </w:rPr>
      </w:r>
    </w:p>
    <w:p>
      <w:pPr>
        <w:pStyle w:val="Normal"/>
        <w:jc w:val="both"/>
        <w:rPr>
          <w:color w:val="C9211E"/>
        </w:rPr>
      </w:pPr>
      <w:r>
        <w:rPr>
          <w:rFonts w:cs="Arial" w:ascii="Arial" w:hAnsi="Arial"/>
        </w:rPr>
        <w:t>7.2.11.</w:t>
      </w:r>
      <w:r>
        <w:rPr>
          <w:rFonts w:cs="Arial" w:ascii="Arial" w:hAnsi="Arial"/>
          <w:color w:val="C9211E"/>
        </w:rPr>
        <w:t xml:space="preserve"> </w:t>
      </w:r>
      <w:r>
        <w:rPr>
          <w:rFonts w:cs="Arial" w:ascii="Arial" w:hAnsi="Arial"/>
          <w:color w:val="000000"/>
        </w:rPr>
        <w:t>Proibidos de participar de licitações e celebrar contratos administrativos, na forma da legislação vigente;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color w:val="000000"/>
        </w:rPr>
        <w:t>7.2.12. Organizações da Sociedade Civil de Interesse Público - OSCIP, atuando nessa condição (Acórdão nº 746/2014-TCU-Plenário);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7.2.13</w:t>
      </w:r>
      <w:r>
        <w:rPr>
          <w:rFonts w:eastAsia="Arial" w:cs="Arial" w:ascii="Arial" w:hAnsi="Arial"/>
          <w:color w:val="000000"/>
        </w:rPr>
        <w:t xml:space="preserve">. Sociedades cooperativas, considerando a vedação contida no art. 10 da Instrução </w:t>
      </w:r>
      <w:r>
        <w:rPr>
          <w:rFonts w:cs="Arial" w:ascii="Arial" w:hAnsi="Arial"/>
          <w:color w:val="000000"/>
        </w:rPr>
        <w:t>Normativa SEGES/MP nº 5, de 2017.</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7.2.14. Fica vedada a participação, direta ou indiretamente, na licitação ou na execução do contrato, de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7.3. O impedimento de que trata o item 7.2.6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7.4. A critério da Administração e exclusivamente a seu serviço, o autor dos projetos e a empresa a que se referem os itens 7.2.4 e 7.2.6 poderão participar no apoio das atividades de planejamento da contratação, de execução da licitação ou de gestão do contrato, desde que sob supervisão exclusiva de agentes públicos do órgão ou entidade.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7.5. Equiparam-se aos autores do projeto as empresas integrantes do mesmo grupo econômico.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7.6. O disposto nos itens 7.2.4 e 7.2.6 não impede a licitação ou a contratação de serviço que inclua como encargo do contratado a elaboração do projeto básico e do projeto executivo, nas contratações integradas, e do projeto executivo, nos demais regimes de execução.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7.7.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 de 2021.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7.8. A vedação de que trata o item 7.2.14 estende-se a terceiro que auxilie a condução da contratação na qualidade de integrante de equipe de apoio, profissional especializado ou funcionário ou representante de empresa que preste assessoria técnica.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7.9. As empresas participantes deverão ter pleno conhecimento dos elementos constantes desta licitação, notadamente das condições gerais e particulares de seu objeto, não podendo invocar qualquer desconhecimento como elemento impeditivo da formulação da proposta e do integral cumprimento do Contrato.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8. DO CREDENCIAMENTO</w:t>
      </w:r>
    </w:p>
    <w:p>
      <w:pPr>
        <w:pStyle w:val="Normal"/>
        <w:jc w:val="both"/>
        <w:rPr>
          <w:rFonts w:ascii="Arial" w:hAnsi="Arial" w:cs="Arial"/>
          <w:b/>
          <w:b/>
        </w:rPr>
      </w:pPr>
      <w:r>
        <w:rPr>
          <w:rFonts w:cs="Arial" w:ascii="Arial" w:hAnsi="Arial"/>
          <w:b/>
        </w:rPr>
      </w:r>
    </w:p>
    <w:p>
      <w:pPr>
        <w:pStyle w:val="Normal"/>
        <w:tabs>
          <w:tab w:val="clear" w:pos="720"/>
          <w:tab w:val="left" w:pos="687" w:leader="none"/>
        </w:tabs>
        <w:jc w:val="both"/>
        <w:rPr/>
      </w:pPr>
      <w:r>
        <w:rPr>
          <w:rFonts w:eastAsia="Arial" w:cs="Arial" w:ascii="Arial" w:hAnsi="Arial"/>
        </w:rPr>
        <w:t xml:space="preserve">8.1. Os interessados em participar desta Concorrência deverão credenciar-se, previamente, no sistema “BLL”, provido pela Bolsa de Licitações do Brasil – BLL, por meio do sítio </w:t>
      </w:r>
      <w:hyperlink r:id="rId5">
        <w:r>
          <w:rPr>
            <w:rStyle w:val="LinkdaInternet"/>
            <w:rFonts w:eastAsia="Arial" w:cs="Arial" w:ascii="Arial" w:hAnsi="Arial"/>
          </w:rPr>
          <w:t>http://bll.org.br/</w:t>
        </w:r>
      </w:hyperlink>
      <w:r>
        <w:rPr>
          <w:rFonts w:eastAsia="Arial" w:cs="Arial" w:ascii="Arial" w:hAnsi="Arial"/>
        </w:rPr>
        <w:t>.</w:t>
      </w:r>
    </w:p>
    <w:p>
      <w:pPr>
        <w:pStyle w:val="Normal"/>
        <w:tabs>
          <w:tab w:val="clear" w:pos="720"/>
          <w:tab w:val="left" w:pos="687" w:leader="none"/>
        </w:tabs>
        <w:jc w:val="both"/>
        <w:rPr>
          <w:rFonts w:ascii="Arial" w:hAnsi="Arial"/>
        </w:rPr>
      </w:pPr>
      <w:r>
        <w:rPr>
          <w:rFonts w:ascii="Arial" w:hAnsi="Arial"/>
        </w:rPr>
      </w:r>
    </w:p>
    <w:p>
      <w:pPr>
        <w:pStyle w:val="Normal"/>
        <w:tabs>
          <w:tab w:val="clear" w:pos="720"/>
          <w:tab w:val="left" w:pos="687" w:leader="none"/>
        </w:tabs>
        <w:jc w:val="both"/>
        <w:rPr/>
      </w:pPr>
      <w:r>
        <w:rPr>
          <w:rFonts w:eastAsia="Arial" w:cs="Arial" w:ascii="Arial" w:hAnsi="Arial"/>
        </w:rPr>
        <w:t xml:space="preserve">8.2. Para ter acesso ao sistema eletrônico, os interessados deverão dispor de chave de identificação e senha pessoal, obtidas junto ao Bolsa de Licitações do Brasil – BLL no endereço eletrônico </w:t>
      </w:r>
      <w:hyperlink r:id="rId6">
        <w:r>
          <w:rPr>
            <w:rStyle w:val="LinkdaInternet"/>
            <w:rFonts w:eastAsia="Arial" w:cs="Arial" w:ascii="Arial" w:hAnsi="Arial"/>
          </w:rPr>
          <w:t>http://bll.org.br/cadastro/</w:t>
        </w:r>
      </w:hyperlink>
      <w:r>
        <w:rPr>
          <w:rFonts w:eastAsia="Arial" w:cs="Arial" w:ascii="Arial" w:hAnsi="Arial"/>
        </w:rPr>
        <w:t>, onde também deverão informar-se a respeito do seu funcionamento e regulamento e receber instruções detalhadas para sua correta utilização.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pPr>
      <w:r>
        <w:rPr>
          <w:rFonts w:eastAsia="Arial" w:cs="Arial" w:ascii="Arial" w:hAnsi="Arial"/>
        </w:rPr>
        <w:t xml:space="preserve">8.3. Os interessados em se credenciar na plataforma BLL poderão obter maiores informações na página </w:t>
      </w:r>
      <w:hyperlink r:id="rId7">
        <w:r>
          <w:rPr>
            <w:rStyle w:val="LinkdaInternet"/>
            <w:rFonts w:eastAsia="Arial" w:cs="Arial" w:ascii="Arial" w:hAnsi="Arial"/>
          </w:rPr>
          <w:t>https://bllcompras.com/</w:t>
        </w:r>
      </w:hyperlink>
      <w:r>
        <w:rPr>
          <w:rFonts w:eastAsia="Arial" w:cs="Arial" w:ascii="Arial" w:hAnsi="Arial"/>
        </w:rPr>
        <w:t xml:space="preserve">, podendo sanar eventuais dúvidas pela central de atendimentos da Plataforma ou pelo e-mail </w:t>
      </w:r>
      <w:hyperlink r:id="rId8">
        <w:r>
          <w:rPr>
            <w:rStyle w:val="LinkdaInternet"/>
            <w:rFonts w:eastAsia="Arial" w:cs="Arial" w:ascii="Arial" w:hAnsi="Arial"/>
          </w:rPr>
          <w:t>contato@bll.org.br</w:t>
        </w:r>
      </w:hyperlink>
      <w:r>
        <w:rPr>
          <w:rFonts w:eastAsia="Arial" w:cs="Arial" w:ascii="Arial" w:hAnsi="Arial"/>
        </w:rPr>
        <w:t>.</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8.4. O uso da senha de acesso pelo licitante é de sua exclusiva responsabilidade, incluindo qualquer transação por ele efetuada diretamente, ou por seu representante, não cabendo ao provedor do sistema ou à Prefeitura Municipal de Aracruz/ES responsabilidade por eventuais danos decorrentes do uso indevido da senha, ainda que por terceiros.</w:t>
      </w:r>
    </w:p>
    <w:p>
      <w:pPr>
        <w:pStyle w:val="Corpodotexto"/>
        <w:tabs>
          <w:tab w:val="clear" w:pos="720"/>
          <w:tab w:val="left" w:pos="687" w:leader="none"/>
        </w:tabs>
        <w:jc w:val="both"/>
        <w:rPr>
          <w:rFonts w:ascii="Arial" w:hAnsi="Arial"/>
          <w:sz w:val="22"/>
          <w:szCs w:val="22"/>
        </w:rPr>
      </w:pPr>
      <w:r>
        <w:rPr>
          <w:rFonts w:ascii="Arial" w:hAnsi="Arial"/>
          <w:sz w:val="22"/>
          <w:szCs w:val="22"/>
        </w:rPr>
      </w:r>
    </w:p>
    <w:p>
      <w:pPr>
        <w:pStyle w:val="Corpodotexto"/>
        <w:tabs>
          <w:tab w:val="clear" w:pos="720"/>
          <w:tab w:val="left" w:pos="687" w:leader="none"/>
        </w:tabs>
        <w:jc w:val="both"/>
        <w:rPr>
          <w:rFonts w:ascii="Arial" w:hAnsi="Arial"/>
          <w:sz w:val="22"/>
          <w:szCs w:val="22"/>
        </w:rPr>
      </w:pPr>
      <w:bookmarkStart w:id="0" w:name="docs-internal-guid-3bd1807e-7fff-89d3-ca"/>
      <w:bookmarkEnd w:id="0"/>
      <w:r>
        <w:rPr>
          <w:rFonts w:eastAsia="Arial" w:cs="Arial" w:ascii="Arial" w:hAnsi="Arial"/>
          <w:color w:val="000000"/>
          <w:sz w:val="22"/>
          <w:szCs w:val="22"/>
        </w:rPr>
        <w:t>8.5. Caberá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eastAsia="Arial" w:cs="Arial" w:ascii="Arial" w:hAnsi="Arial"/>
          <w:sz w:val="22"/>
          <w:szCs w:val="22"/>
        </w:rPr>
        <w:t>8.6.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pPr>
        <w:pStyle w:val="Normal"/>
        <w:tabs>
          <w:tab w:val="clear" w:pos="720"/>
          <w:tab w:val="left" w:pos="687" w:leader="none"/>
        </w:tabs>
        <w:jc w:val="both"/>
        <w:rPr>
          <w:rFonts w:ascii="Arial" w:hAnsi="Arial"/>
        </w:rPr>
      </w:pPr>
      <w:r>
        <w:rPr>
          <w:rFonts w:ascii="Arial" w:hAnsi="Arial"/>
        </w:rPr>
      </w:r>
    </w:p>
    <w:p>
      <w:pPr>
        <w:pStyle w:val="Corpodotexto"/>
        <w:tabs>
          <w:tab w:val="clear" w:pos="720"/>
          <w:tab w:val="left" w:pos="687" w:leader="none"/>
        </w:tabs>
        <w:jc w:val="both"/>
        <w:rPr>
          <w:rFonts w:ascii="Arial" w:hAnsi="Arial"/>
          <w:sz w:val="22"/>
          <w:szCs w:val="22"/>
        </w:rPr>
      </w:pPr>
      <w:bookmarkStart w:id="1" w:name="docs-internal-guid-2c94aa72-7fff-2ebf-92"/>
      <w:bookmarkEnd w:id="1"/>
      <w:r>
        <w:rPr>
          <w:rFonts w:eastAsia="Arial" w:cs="Arial" w:ascii="Arial" w:hAnsi="Arial"/>
          <w:color w:val="000000"/>
          <w:sz w:val="22"/>
          <w:szCs w:val="22"/>
        </w:rPr>
        <w:t>8.7.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pPr>
        <w:pStyle w:val="Corpodotexto"/>
        <w:jc w:val="both"/>
        <w:rPr>
          <w:rFonts w:ascii="Arial" w:hAnsi="Arial"/>
          <w:sz w:val="22"/>
          <w:szCs w:val="22"/>
        </w:rPr>
      </w:pPr>
      <w:r>
        <w:rPr>
          <w:rFonts w:ascii="Arial" w:hAnsi="Arial"/>
          <w:sz w:val="22"/>
          <w:szCs w:val="22"/>
        </w:rPr>
        <w:br/>
        <w:t xml:space="preserve">8.8. </w:t>
      </w:r>
      <w:r>
        <w:rPr>
          <w:rFonts w:eastAsia="Arial" w:cs="Arial" w:ascii="Arial" w:hAnsi="Arial"/>
          <w:color w:val="000000"/>
          <w:sz w:val="22"/>
          <w:szCs w:val="22"/>
        </w:rPr>
        <w:t>A não observância do disposto no item anterior poderá ensejar desclassificação no momento da habilitação.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8.9. O credenciamento junto à plataforma BLL implica a responsabilidade do licitante ou de seu representante legal e a presunção de sua capacidade técnica para realização das transações inerentes a esta licitação.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rPr>
        <w:t>8.10. A perda da senha ou a quebra de sigilo deverão ser comunicadas imediatamente ao provedor do sistema para imediato bloqueio de acesso.</w:t>
      </w:r>
    </w:p>
    <w:p>
      <w:pPr>
        <w:pStyle w:val="Normal"/>
        <w:tabs>
          <w:tab w:val="clear" w:pos="720"/>
          <w:tab w:val="left" w:pos="687" w:leader="none"/>
        </w:tabs>
        <w:jc w:val="both"/>
        <w:rPr>
          <w:rFonts w:ascii="Arial" w:hAnsi="Arial" w:eastAsia="Arial" w:cs="Arial"/>
        </w:rPr>
      </w:pPr>
      <w:r>
        <w:rPr>
          <w:rFonts w:eastAsia="Arial" w:cs="Arial" w:ascii="Arial" w:hAnsi="Arial"/>
        </w:rPr>
      </w:r>
    </w:p>
    <w:p>
      <w:pPr>
        <w:pStyle w:val="Normal"/>
        <w:tabs>
          <w:tab w:val="clear" w:pos="720"/>
          <w:tab w:val="left" w:pos="687" w:leader="none"/>
        </w:tabs>
        <w:jc w:val="both"/>
        <w:rPr>
          <w:rFonts w:ascii="Arial" w:hAnsi="Arial"/>
        </w:rPr>
      </w:pPr>
      <w:r>
        <w:rPr>
          <w:rFonts w:eastAsia="Arial" w:cs="Arial" w:ascii="Arial" w:hAnsi="Arial"/>
          <w:color w:val="000000"/>
        </w:rPr>
        <w:t xml:space="preserve">8.11. A licitação será conduzida pelo Agente de Contratação do Município de Aracruz/ES, com o suporte da equipe de apoio e o apoio técnico e operacional da plataforma BLL, que atuará como provedor do sistema eletrônico para a realização deste processo licitatório. </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bCs/>
        </w:rPr>
        <w:t>9. DA DISPUTA E DA CONDUÇÃO DO CERTAME</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 xml:space="preserve">9.1. Os trabalhos serão conduzidos pelo Agente de Contratação, mediante a inserção e monitoramento de dados gerados ou transferidos no seguinte endereço eletrônico: </w:t>
      </w:r>
      <w:hyperlink r:id="rId9">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9.2. A abertura da sessão pública deste certame Eletrônico, ocorrerá na data e na hora indicadas no preâmbulo deste Edital, no sítio eletrônico: </w:t>
      </w:r>
      <w:hyperlink r:id="rId10">
        <w:r>
          <w:rPr>
            <w:rStyle w:val="LinkdaInternet"/>
            <w:rFonts w:cs="Arial" w:ascii="Arial" w:hAnsi="Arial"/>
          </w:rPr>
          <w:t>http://bll.org.br</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9.3. A operacionalidade do Sistema se fará por meio do Portal: </w:t>
      </w:r>
      <w:hyperlink r:id="rId11">
        <w:r>
          <w:rPr>
            <w:rStyle w:val="LinkdaInternet"/>
            <w:rFonts w:cs="Arial" w:ascii="Arial" w:hAnsi="Arial"/>
          </w:rPr>
          <w:t>http://bll.org.br</w:t>
        </w:r>
      </w:hyperlink>
      <w:r>
        <w:rPr>
          <w:rFonts w:cs="Arial" w:ascii="Arial" w:hAnsi="Arial"/>
        </w:rPr>
        <w:t>, junto ao qual as Licitantes deverão informar-se a respeito do seu funcionamento e regulamento, e receber instruções detalhadas para sua correta utilização.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9.4. A participação na licitação, na forma eletrônica, se dará por meio da digitação da senha pessoal e intransferível do representante credenciado junto ao </w:t>
      </w:r>
      <w:hyperlink r:id="rId12">
        <w:r>
          <w:rPr>
            <w:rStyle w:val="LinkdaInternet"/>
            <w:rFonts w:cs="Arial" w:ascii="Arial" w:hAnsi="Arial"/>
          </w:rPr>
          <w:t>http://bll.org.br</w:t>
        </w:r>
      </w:hyperlink>
      <w:r>
        <w:rPr>
          <w:rFonts w:cs="Arial" w:ascii="Arial" w:hAnsi="Arial"/>
        </w:rPr>
        <w:t>, e subsequente encaminhamento da PROPOSTA, exclusivamente por meio do sistema eletrônico, observados data e horário estabelecidos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9.5. O encaminhamento da PROPOSTA pressupõe o pleno conhecimento e atendimento às exigências de habilitação previstas neste Edital. A Licitante será responsável por todas as transações que forem efetuadas em seu nome no sistema eletrônico assumindo como firmes e verdadeiros sua PROPOSTA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9.6. Caberá ao Licitante acompanhar as operações no sistema eletrônico durante a sessão pública do certame, ficando responsável pelo ônus decorrente da perda de negócios diante da inobservância de qualquer mensagem emitida pelo sistema eletrônico ou de sua desconexão.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9.7. Caberá ao licitante comunicar imediatamente ao provedor do sistema qualquer acontecimento que possa comprometer o sigilo ou a segurança, para imediato bloqueio de acesso.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9.8. Se ocorrer a desconexão do Agente de Contratação, no decorrer da etapa de lances, e o sistema eletrônico permanecer acessível aos Licitantes, os lances continuarão sendo recebidos, sem prejuízo dos atos realizados.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9.9. Quando a desconexão persistir por tempo superior a 15 (quinze) minutos, a sessão do certame Eletrônico será suspensa e terá reinício, com o aproveitamento dos atos anteriormente praticados, somente após comunicação expressa do Agente de Contratação aos participantes, através de mensagem eletrônica diretamente no Portal Eletrônico da Bolsa de Licitações Leilões do Brasil - BLL, através do endereço </w:t>
      </w:r>
      <w:hyperlink r:id="rId13">
        <w:r>
          <w:rPr>
            <w:rStyle w:val="LinkdaInternet"/>
            <w:rFonts w:cs="Arial" w:ascii="Arial" w:hAnsi="Arial"/>
          </w:rPr>
          <w:t>https://bllcompras.com/</w:t>
        </w:r>
      </w:hyperlink>
      <w:r>
        <w:rPr>
          <w:rFonts w:cs="Arial" w:ascii="Arial" w:hAnsi="Arial"/>
        </w:rPr>
        <w:t>, divulgando data e hora da reabertura da sessão, com antecedência de 24 (vinte e quatro) horas.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9.10. No caso de desconexão, cada Licitante deverá de imediato, sob sua inteira responsabilidade, providenciar sua conexão ao sistema eletrônico.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9.11. Durante a sessão pública, a comunicação entre o Agente de Contratação e os Licitantes ocorrerá exclusivamente mediante troca de mensagens, via Chat, em campo próprio do sistema eletrônico.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9.11.1. Não será aceito nenhum outro tipo de contato, como meio telefônico ou e-mail. Ressalta-se que, no ambiente eletrônico da sala de disputa, a permissão para envio de mensagem é dada somente ao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9.12. Todas as referências de tempo no Edital, no Aviso e durante a Sessão Pública observarão, obrigatoriamente, o horário de Brasília – DF e, dessa forma, serão registadas no sistema eletrônico e na documentação relativa ao certame.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9.13. Somente os Licitantes com propostas cadastradas participarão da fase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9.14. A desclassificação da PROPOSTA será sempre fundamentada e registrada no sistema eletrônico, com acompanhamento em tempo real pelas Licitantes.</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 xml:space="preserve">10. DA APRESENTAÇÃO DA PROPOSTA </w:t>
      </w:r>
    </w:p>
    <w:p>
      <w:pPr>
        <w:pStyle w:val="Normal"/>
        <w:jc w:val="both"/>
        <w:rPr>
          <w:rFonts w:ascii="Arial" w:hAnsi="Arial" w:cs="Arial"/>
        </w:rPr>
      </w:pPr>
      <w:r>
        <w:rPr>
          <w:rFonts w:cs="Arial" w:ascii="Arial" w:hAnsi="Arial"/>
        </w:rPr>
      </w:r>
    </w:p>
    <w:p>
      <w:pPr>
        <w:pStyle w:val="Normal"/>
        <w:jc w:val="both"/>
        <w:rPr>
          <w:b/>
          <w:b/>
          <w:bCs/>
          <w:u w:val="single"/>
        </w:rPr>
      </w:pPr>
      <w:r>
        <w:rPr>
          <w:rFonts w:cs="Arial" w:ascii="Arial" w:hAnsi="Arial"/>
          <w:b/>
          <w:bCs/>
          <w:u w:val="single"/>
        </w:rPr>
        <w:t>10.1. Na presente licitação, a fase de habilitação sucederá as fases de apresentação de propostas e lances e de julgamento.</w:t>
      </w:r>
    </w:p>
    <w:p>
      <w:pPr>
        <w:pStyle w:val="Normal"/>
        <w:jc w:val="both"/>
        <w:rPr>
          <w:rFonts w:ascii="Arial" w:hAnsi="Arial" w:cs="Arial"/>
          <w:u w:val="single"/>
        </w:rPr>
      </w:pPr>
      <w:r>
        <w:rPr>
          <w:rFonts w:cs="Arial" w:ascii="Arial" w:hAnsi="Arial"/>
          <w:u w:val="single"/>
        </w:rPr>
      </w:r>
    </w:p>
    <w:p>
      <w:pPr>
        <w:pStyle w:val="Normal"/>
        <w:jc w:val="both"/>
        <w:rPr/>
      </w:pPr>
      <w:r>
        <w:rPr>
          <w:rFonts w:cs="Arial" w:ascii="Arial" w:hAnsi="Arial"/>
        </w:rPr>
        <w:t xml:space="preserve">10.2. Após a divulgação do Edital, os licitantes encaminharão, exclusivamente por meio do sistema eletrônico, Bolsa de Licitações e Leilões do Brasil Ltda </w:t>
      </w:r>
      <w:hyperlink r:id="rId14">
        <w:r>
          <w:rPr>
            <w:rStyle w:val="LinkdaInternet"/>
            <w:rFonts w:cs="Arial" w:ascii="Arial" w:hAnsi="Arial"/>
          </w:rPr>
          <w:t>www.bll.org.br</w:t>
        </w:r>
      </w:hyperlink>
      <w:r>
        <w:rPr>
          <w:rFonts w:cs="Arial" w:ascii="Arial" w:hAnsi="Arial"/>
        </w:rPr>
        <w:t>, a proposta com a descrição do objeto ofertado e o preço, conforme critério de julgamento adotado neste edital, até a data e o horário estabelecidos para a abertura da sessão publica, quando, então, encerrar-se-á automaticamente a etapa de envio dessa documentação.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10.3. A participação no certame Eletrônico ocorrerá mediante utilização da chave de identificação e de senha privativa do Licitante e subsequente encaminhamento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10.4. O licitante deverá consignar, na forma expressa no sistema eletrônico, o valor global, já considerados inclusos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 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10.5. Quando tratar-se de aquisição de bens, o licitante deverá informar na proposta, em campo próprio do sistema eletrônico, a Marca e Modelo do Objeto ofertado, conforme o caso, sob pena de desclassificação da proposta.</w:t>
      </w:r>
    </w:p>
    <w:p>
      <w:pPr>
        <w:pStyle w:val="Normal"/>
        <w:jc w:val="both"/>
        <w:rPr>
          <w:rFonts w:ascii="Arial" w:hAnsi="Arial"/>
        </w:rPr>
      </w:pPr>
      <w:r>
        <w:rPr>
          <w:rFonts w:ascii="Arial" w:hAnsi="Arial"/>
        </w:rPr>
      </w:r>
    </w:p>
    <w:p>
      <w:pPr>
        <w:pStyle w:val="Normal"/>
        <w:jc w:val="both"/>
        <w:rPr>
          <w:u w:val="single"/>
        </w:rPr>
      </w:pPr>
      <w:r>
        <w:rPr>
          <w:rFonts w:cs="Arial" w:ascii="Arial" w:hAnsi="Arial"/>
          <w:u w:val="single"/>
        </w:rPr>
        <w:t>10.6. Incumbirá, à licitante, acompanhar as operações no sistema eletrônico durante a sessão pública da concorrência eletrônica, ficando responsável pelo ônus decorrente da perda de negócios diante da inobservância de qualquer mensagem emitida pelo sistema ou de sua desconexão.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10.7. Até a abertura da sessão pública, o Licitante poderá retirar ou substituir a proposta anteriormente inseridos no sistema.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10.8. Não será estabelecida, nessa etapa do certame, ordem de classificação entre as propostas apresentadas, o que ocorrerá somente após os procedimentos de abertura da sessão pública e da fase de envio de lances.</w:t>
      </w:r>
    </w:p>
    <w:p>
      <w:pPr>
        <w:pStyle w:val="Normal"/>
        <w:jc w:val="both"/>
        <w:rPr>
          <w:rFonts w:ascii="Arial" w:hAnsi="Arial"/>
        </w:rPr>
      </w:pPr>
      <w:r>
        <w:rPr>
          <w:rFonts w:ascii="Arial" w:hAnsi="Arial"/>
        </w:rPr>
      </w:r>
    </w:p>
    <w:p>
      <w:pPr>
        <w:pStyle w:val="Normal"/>
        <w:jc w:val="both"/>
        <w:rPr>
          <w:u w:val="single"/>
        </w:rPr>
      </w:pPr>
      <w:r>
        <w:rPr>
          <w:rFonts w:cs="Arial" w:ascii="Arial" w:hAnsi="Arial"/>
          <w:u w:val="single"/>
        </w:rPr>
        <w:t>10.09. Os documentos que compõem a proposta melhor classificado somente serão disponibilizados para avaliação do Agente de Contratações e para acesso público após o encerramento do envio de lances.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10.10.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10.11. Os documentos complementares à proposta,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10.12.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10.12.1. Nestes casos, a licitante deverá encaminhar a documentação original ou a cópia autenticada exigida, no prazo máximo de 03 (três) dias úteis, contados da data da solicitação do Agente de Contratações, via sistema.</w:t>
      </w:r>
    </w:p>
    <w:p>
      <w:pPr>
        <w:pStyle w:val="Normal"/>
        <w:jc w:val="both"/>
        <w:rPr>
          <w:rFonts w:ascii="Arial" w:hAnsi="Arial"/>
        </w:rPr>
      </w:pPr>
      <w:r>
        <w:rPr>
          <w:rFonts w:cs="Arial" w:ascii="Arial" w:hAnsi="Arial"/>
        </w:rPr>
        <w:t xml:space="preserve"> </w:t>
      </w:r>
    </w:p>
    <w:p>
      <w:pPr>
        <w:pStyle w:val="Normal"/>
        <w:jc w:val="both"/>
        <w:rPr>
          <w:rFonts w:ascii="Arial" w:hAnsi="Arial"/>
        </w:rPr>
      </w:pPr>
      <w:r>
        <w:rPr>
          <w:rFonts w:cs="Arial" w:ascii="Arial" w:hAnsi="Arial"/>
        </w:rPr>
        <w:t>10.13. Havendo necessidade de analisar minuciosamente os documentos exigidos, o Agente de Contratações suspenderá a sessão, informando no “chat” a nova data e horário para a continuidade da mesma.</w:t>
      </w:r>
    </w:p>
    <w:p>
      <w:pPr>
        <w:pStyle w:val="Normal"/>
        <w:jc w:val="both"/>
        <w:rPr>
          <w:rFonts w:ascii="Arial" w:hAnsi="Arial"/>
          <w:color w:val="C9211E"/>
        </w:rPr>
      </w:pPr>
      <w:r>
        <w:rPr>
          <w:rFonts w:ascii="Arial" w:hAnsi="Arial"/>
          <w:color w:val="C9211E"/>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color w:val="000000"/>
        </w:rPr>
        <w:t>11. DO PREENCHIMENTO E APRESENTAÇÃO DA PROPOSTA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11.1. O licitante deverá enviar sua proposta mediante o preenchimento, no sistema eletrônico, dos seguintes campos: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a) Valor global da proposta;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Marca / Modelo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Fabricante (se for o caso);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 A proposta de preços deverá conter:</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11.2.1. Carta de apresentação da proposta, preenchida de conformidade com o modelo constante no ANEXO III, declarando expressamente que: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aceita todas as condições deste Edital;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b) que no preço global estão incluídas todas as despesas necessárias à perfeita realização do objeto, representando a compensação integral para a execução do mesmo, cobrindo todos os custos diretos, indiretos, encargos, impostos, lucros, administração e outros, considerando as especificações e composições dos serviços definidas nas Planilhas orçamentárias e Projeto que integram este Edital,</w:t>
      </w:r>
      <w:r>
        <w:rPr>
          <w:rFonts w:cs="Arial" w:ascii="Arial" w:hAnsi="Arial"/>
          <w:color w:val="C9211E"/>
        </w:rPr>
        <w:t xml:space="preserve"> </w:t>
      </w:r>
      <w:r>
        <w:rPr>
          <w:rFonts w:cs="Arial" w:ascii="Arial" w:hAnsi="Arial"/>
        </w:rPr>
        <w:t xml:space="preserve">bem como as normas técnicas vigentes, abrangendo todos os custos de mão-de-obra, inclusive folgadores, encargos sociais, materiais, equipamentos, transportes, alimentação, lucros, encargos fiscais e parafiscais, despesas diretas e indiretas, bem como aquelas indispensáveis para proporcionar e manter a higiene e segurança dos trabalhos.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c) Prazo de validade da proposta de, no mínimo, 60 (sessenta) dias, a contar da data da sessão desta concorrência eletrônica.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11.2.2. Planilha orçamentária de serviços e quantidades, com os respectivos preços unitários de cada item e global da proposta, em algarismo, expresso em moeda corrente nacional (real), conforme Anexo IV deste Edital, em papel timbrado do Licitante, obedecidos os limites de preços fixados no presente instrumento e observando as especificações técnicas, Planilha orçamentária e demais condições previstas neste Edital e seus Anexos.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A proposta deverá conter descrição detalhada do objeto, contendo as informações similares à especificação do Projeto Básico: indicando, no que for aplicável: modelo, prazo de garantia, marca e especificações detalhadas dos objetos ofertados.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b) Nos preços deverão estar incluído todos 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Todos os dados informados pelo licitante em sua planilha deverão refletir com fidelidade os custos especificados e a margem de lucro pretendida;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Não se admitirá, na proposta de preços, custos identificados mediante o uso da expressão "verba" ou de unidades genéricas.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e)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11.2.3. Detalhamento das bonificações e Despesas Indiretas (BDI) e dos Encargos Sociais (ES);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11.2.4. Cronograma físico-financeiro, conforme modelo no Anexo II deste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a) cronograma físico-financeiro proposto pelo licitante deverá observar o cronograma de desembolso máximo por período constante do Projeto Básico, bem como indicar os serviços pertencentes ao caminho crítico da obra;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11.3. Todas as especificações do objeto contidas na proposta vinculam à Contratada.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11.4. Os licitantes devem respeitar os preços máximos estabelecidos nas normas de regência de contratações públicas, quando participarem de licitações públicas.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11.5. A empresa é a única responsável pela cotação correta dos encargos tributários. Em caso de erro ou cotação incompatível com o regime tributário a que se submete, serão adotadas as orientações a seguir:</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cotação de percentual menor que o adequado: o percentual será mantido durante toda</w:t>
      </w:r>
    </w:p>
    <w:p>
      <w:pPr>
        <w:pStyle w:val="Normal"/>
        <w:jc w:val="both"/>
        <w:rPr>
          <w:rFonts w:ascii="Arial" w:hAnsi="Arial"/>
        </w:rPr>
      </w:pPr>
      <w:r>
        <w:rPr>
          <w:rFonts w:cs="Arial" w:ascii="Arial" w:hAnsi="Arial"/>
        </w:rPr>
        <w:t>a execução contratual;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b) cotação de percentual maior que o adequado: o excesso será suprimido, unilateralmente da planilha e haverá glosa, quando do pagamento.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independentemente do percentual de tributo inserido na planilha, no pagamento dos serviços, serão retidos na fonte os percentuais estabelecidos na legislação vigente.</w:t>
      </w:r>
    </w:p>
    <w:p>
      <w:pPr>
        <w:pStyle w:val="Normal"/>
        <w:jc w:val="both"/>
        <w:rPr>
          <w:rFonts w:ascii="Arial" w:hAnsi="Arial" w:cs="Arial"/>
          <w:color w:val="FFC000"/>
        </w:rPr>
      </w:pPr>
      <w:r>
        <w:rPr>
          <w:rFonts w:cs="Arial" w:ascii="Arial" w:hAnsi="Arial"/>
          <w:color w:val="FFC000"/>
        </w:rPr>
      </w:r>
    </w:p>
    <w:p>
      <w:pPr>
        <w:pStyle w:val="Normal"/>
        <w:jc w:val="both"/>
        <w:rPr>
          <w:rFonts w:ascii="Arial" w:hAnsi="Arial"/>
        </w:rPr>
      </w:pPr>
      <w:r>
        <w:rPr>
          <w:rFonts w:cs="Arial" w:ascii="Arial" w:hAnsi="Arial"/>
        </w:rPr>
        <w:t>11.6. A Proposta de Preços não poderá conter valor unitário ou global superiores aos constantes na Planilha Orçamentária contida no Anexo XII.</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11.7. Os orçamentos apresentados pelos licitantes deverão ser assinados por profissionais devidamente habilitados (art. 13, 14 e 15 da Lei Federal nº 5.194/1966).</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11.8. A apresentação da proposta implicará plena aceitação, por parte do proponente das condições estabelecidas neste Edital e seus anexos, implicando na plena aceitação destas pelo proponente.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11.9. Poderão ser admitidos pelo Agente de Contratação erros de natureza formal, desde que não comprometam o interesse público e da Administração.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11.10. 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11.11. A licitante se responsabilizará por todas as transações que forem efetuadas em seu nome no sistema eletrônico, assumindo como firmes e verdadeiras suas propostas, assim como os lances inseridos durante 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11.12. Serão desclassificadas as propostas que não atenderem as exigências do presente edital e seus anexos, que forem omissas ou apresentarem irregularidades insanáveis.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11.13. A omissão de qualquer despesa necessária ao perfeito cumprimento do objeto deste certame será interpretada como não existente ou já incluída no preço, não podendo o Licitante pleitear acréscimo após a abertura da sessão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11.14. A proposta da licitante deverá considerar a tributação que efetivamente incidirá durante a execução do contrato.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11.15. </w:t>
      </w:r>
      <w:r>
        <w:rPr>
          <w:rFonts w:cs="Arial" w:ascii="Arial" w:hAnsi="Arial"/>
          <w:u w:val="single"/>
        </w:rPr>
        <w:t>Qualquer elemento que possa identificar o Licitante importará na desclassificação da proposta, sem prejuízo das sanções previstas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11.16. As propostas e eventuais anexos ficarão disponíveis no sistema eletrônico.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11.17. A apresentação das propostas implica obrigatoriedade do cumprimento das disposições nelas contidas, em conformidade com o que dispõe o Projeto Básico,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pPr>
        <w:pStyle w:val="Normal"/>
        <w:jc w:val="both"/>
        <w:rPr>
          <w:rFonts w:ascii="Arial" w:hAnsi="Arial" w:cs="Arial"/>
        </w:rPr>
      </w:pPr>
      <w:r>
        <w:rPr>
          <w:rFonts w:cs="Arial" w:ascii="Arial" w:hAnsi="Arial"/>
        </w:rPr>
      </w:r>
    </w:p>
    <w:p>
      <w:pPr>
        <w:pStyle w:val="Nivel2"/>
        <w:spacing w:lineRule="auto" w:line="240" w:before="0" w:after="0"/>
        <w:ind w:left="0" w:hanging="0"/>
        <w:rPr>
          <w:rFonts w:ascii="Arial" w:hAnsi="Arial"/>
          <w:sz w:val="22"/>
          <w:szCs w:val="22"/>
        </w:rPr>
      </w:pPr>
      <w:r>
        <w:rPr>
          <w:rFonts w:eastAsia="Arial MT" w:cs="Arial" w:ascii="Arial" w:hAnsi="Arial"/>
          <w:color w:val="000000"/>
          <w:sz w:val="22"/>
          <w:szCs w:val="22"/>
          <w:lang w:val="pt-PT" w:eastAsia="en-US"/>
        </w:rPr>
        <w:t>11.18. O descumprimento das regras supramencionadas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2"/>
        <w:spacing w:lineRule="auto" w:line="240" w:before="0" w:after="0"/>
        <w:ind w:left="0" w:hanging="0"/>
        <w:rPr>
          <w:rFonts w:ascii="Arial" w:hAnsi="Arial"/>
          <w:sz w:val="22"/>
          <w:szCs w:val="22"/>
        </w:rPr>
      </w:pPr>
      <w:r>
        <w:rPr>
          <w:rFonts w:ascii="Arial" w:hAnsi="Arial"/>
          <w:sz w:val="22"/>
          <w:szCs w:val="22"/>
        </w:rPr>
      </w:r>
    </w:p>
    <w:p>
      <w:pPr>
        <w:pStyle w:val="Normal"/>
        <w:jc w:val="both"/>
        <w:rPr>
          <w:rFonts w:ascii="Arial" w:hAnsi="Arial"/>
        </w:rPr>
      </w:pPr>
      <w:r>
        <w:rPr>
          <w:rFonts w:cs="Arial" w:ascii="Arial" w:hAnsi="Arial"/>
        </w:rPr>
        <w:t>11.19. O licitante que abandonar o certame, deixando de enviar a documentação indicada no item 14, será desclassificado e sujeitar-se-á às sanções previstas neste edital.</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12. DA FASE DE LANCES E DA NEGOCIAÇÃO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12.1. A partir do horário previsto no Edital, o Agente de Contratação realizará a abertura e posterior julgamento das propostas preliminares apresentadas pelos licitantes interessados.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12.2. Os licitantes poderão retirar ou substituir a proposta ou os documentos de habilitação, quando for o caso, anteriormente inseridos no sistema, até a abertura da sessão pública.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12.3. O sistema disponibilizará campo próprio para envio de mensagens, pelo Agente de Contratação aos licitantes.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12.4. O Agente de Contratação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12.5. </w:t>
      </w:r>
      <w:r>
        <w:rPr>
          <w:rFonts w:cs="Arial" w:ascii="Arial" w:hAnsi="Arial"/>
          <w:u w:val="single"/>
        </w:rPr>
        <w:t>Também será desclassificada a proposta que identifique o licitante</w:t>
      </w:r>
      <w:r>
        <w:rPr>
          <w:rFonts w:cs="Arial" w:ascii="Arial" w:hAnsi="Arial"/>
        </w:rPr>
        <w:t>.</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12.6. A desclassificação será sempre fundamentada e registrada no sistema, com acompanhamento em tempo real por todos os participantes.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12.7. A classificação da proposta não impede o seu julgamento definitivo em sentido contrário, levado a efeito na fase de aceitação.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12.8. O sistema ordenará automaticamente as propostas classificadas, sendo que somente estas participarão da fase de lances.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12.9. Encerrado o julgamento das propostas preliminares e observado o horário estipulado neste instrumento, a sessão pública na internet será aberta pelo Agente de Contratação, com início da fase competitiva, quando os licitantes deverão encaminhar lances exclusivamente por meio de sistema eletrônico.</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12.10. Durante o transcurso da sessão, os Licitantes terão informações, em tempo real, do valor de menor preço registrado, mantendo-se em sigilo a identificação do ofertante.</w:t>
      </w:r>
    </w:p>
    <w:p>
      <w:pPr>
        <w:pStyle w:val="Normal"/>
        <w:jc w:val="both"/>
        <w:rPr>
          <w:rFonts w:ascii="Arial" w:hAnsi="Arial" w:cs="Arial"/>
        </w:rPr>
      </w:pPr>
      <w:r>
        <w:rPr>
          <w:rFonts w:cs="Arial" w:ascii="Arial" w:hAnsi="Arial"/>
        </w:rPr>
      </w:r>
    </w:p>
    <w:p>
      <w:pPr>
        <w:pStyle w:val="Normal"/>
        <w:jc w:val="both"/>
        <w:rPr/>
      </w:pPr>
      <w:r>
        <w:rPr>
          <w:rFonts w:cs="Arial" w:ascii="Arial" w:hAnsi="Arial"/>
        </w:rPr>
        <w:t>12.11. O lance deverá ser ofertado pelo valor global proposto.</w:t>
      </w:r>
    </w:p>
    <w:p>
      <w:pPr>
        <w:pStyle w:val="Normal"/>
        <w:jc w:val="both"/>
        <w:rPr>
          <w:rFonts w:ascii="Arial" w:hAnsi="Arial" w:cs="Arial"/>
        </w:rPr>
      </w:pPr>
      <w:r>
        <w:rPr>
          <w:rFonts w:cs="Arial" w:ascii="Arial" w:hAnsi="Arial"/>
        </w:rPr>
      </w:r>
    </w:p>
    <w:p>
      <w:pPr>
        <w:pStyle w:val="Normal"/>
        <w:jc w:val="both"/>
        <w:rPr/>
      </w:pPr>
      <w:r>
        <w:rPr>
          <w:rFonts w:cs="Arial" w:ascii="Arial" w:hAnsi="Arial"/>
        </w:rPr>
        <w:t>12.12. Os licitantes poderão oferecer lances sucessivos, observados o horário fixado para abertura da sessão pública e as regras estabelecidas neste edital.</w:t>
      </w:r>
    </w:p>
    <w:p>
      <w:pPr>
        <w:pStyle w:val="Normal"/>
        <w:jc w:val="both"/>
        <w:rPr>
          <w:rFonts w:ascii="Arial" w:hAnsi="Arial" w:cs="Arial"/>
        </w:rPr>
      </w:pPr>
      <w:r>
        <w:rPr>
          <w:rFonts w:cs="Arial" w:ascii="Arial" w:hAnsi="Arial"/>
        </w:rPr>
      </w:r>
    </w:p>
    <w:p>
      <w:pPr>
        <w:pStyle w:val="Nivel2"/>
        <w:spacing w:lineRule="auto" w:line="240" w:before="0" w:after="0"/>
        <w:ind w:left="0" w:hanging="0"/>
        <w:rPr/>
      </w:pPr>
      <w:r>
        <w:rPr>
          <w:rFonts w:cs="Arial" w:ascii="Arial" w:hAnsi="Arial"/>
          <w:sz w:val="22"/>
          <w:szCs w:val="22"/>
        </w:rPr>
        <w:t xml:space="preserve">12.13. </w:t>
      </w:r>
      <w:r>
        <w:rPr>
          <w:rFonts w:eastAsia="Arial MT" w:cs="Arial" w:ascii="Arial" w:hAnsi="Arial"/>
          <w:color w:val="000000"/>
          <w:sz w:val="22"/>
          <w:szCs w:val="22"/>
          <w:lang w:val="pt-PT" w:eastAsia="en-US"/>
        </w:rPr>
        <w:t>Será permitido aos Licitantes a apresentação de lances intermediários durante a disputa. Serão considerados intermediários os lances cujos descontos percentuais forem iguais ou superiores ao menor ofertado, mas inferiores ao último lance dado pelo próprio licitante, e registrado no sistema eletrônico pela própria Licitante.</w:t>
      </w:r>
    </w:p>
    <w:p>
      <w:pPr>
        <w:pStyle w:val="Nivel2"/>
        <w:spacing w:lineRule="auto" w:line="240" w:before="0" w:after="0"/>
        <w:ind w:left="0" w:hanging="0"/>
        <w:rPr>
          <w:rFonts w:ascii="Arial" w:hAnsi="Arial" w:eastAsia="Arial MT" w:cs="Arial"/>
          <w:sz w:val="22"/>
          <w:szCs w:val="22"/>
          <w:lang w:val="pt-PT" w:eastAsia="en-US"/>
        </w:rPr>
      </w:pPr>
      <w:r>
        <w:rPr>
          <w:rFonts w:eastAsia="Arial MT" w:cs="Arial" w:ascii="Arial" w:hAnsi="Arial"/>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12.14. O licitante somente poderá oferecer lance de valor inferior ou percentual de desconto superior ao último por ele ofertado e registrado pelo sistema.</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12.15. Não serão aceitos dois ou mais lances iguais, prevalecendo aquele que for recebido e registrado primeiro.</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12.16. O licitante po</w:t>
      </w:r>
      <w:r>
        <w:rPr>
          <w:rFonts w:eastAsia="Arial MT" w:cs="Arial" w:ascii="Arial" w:hAnsi="Arial"/>
          <w:sz w:val="22"/>
          <w:szCs w:val="22"/>
          <w:lang w:val="pt-PT" w:eastAsia="en-US"/>
        </w:rPr>
        <w:t>derá, uma única vez, excluir seu último lance ofertado, no intervalo de quinze segundos após o registro no sistema, na hipótese de lance inconsistente ou inexequível.</w:t>
      </w:r>
    </w:p>
    <w:p>
      <w:pPr>
        <w:pStyle w:val="Normal"/>
        <w:jc w:val="both"/>
        <w:rPr>
          <w:rFonts w:ascii="Arial" w:hAnsi="Arial" w:cs="Arial"/>
        </w:rPr>
      </w:pPr>
      <w:r>
        <w:rPr>
          <w:rFonts w:cs="Arial" w:ascii="Arial" w:hAnsi="Arial"/>
        </w:rPr>
      </w:r>
    </w:p>
    <w:p>
      <w:pPr>
        <w:pStyle w:val="Normal"/>
        <w:jc w:val="both"/>
        <w:rPr/>
      </w:pPr>
      <w:r>
        <w:rPr>
          <w:rFonts w:cs="Arial" w:ascii="Arial" w:hAnsi="Arial"/>
        </w:rPr>
        <w:t>12.17. Durante a fase de lances, o Agente de Contratação poderá excluir, justificadamente, lance cujo valor seja manifestamente inexequível.</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12.18. </w:t>
      </w:r>
      <w:r>
        <w:rPr>
          <w:rFonts w:cs="Arial" w:ascii="Arial" w:hAnsi="Arial"/>
          <w:u w:val="single"/>
        </w:rPr>
        <w:t>O procedimento seguirá de acordo com o modo de disputa adotado</w:t>
      </w:r>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12.19. Caso seja adotado para o envio de lances na licitação o modo de disputa “aberto”, os licitantes apresentarão lances públicos e sucessivos, com prorrogações.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12.19.1.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pPr>
      <w:r>
        <w:rPr>
          <w:rFonts w:cs="Arial" w:ascii="Arial" w:hAnsi="Arial"/>
        </w:rPr>
        <w:t>12.19.2.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12.19.3. Não havendo novos lances na forma estabelecida nos itens anteriores, a sessão pública encerrar-se-á automaticamente, e o sistema ordenará e divulgará os lances conforme a ordem final de classificação, sem prejuízo da aplicação da margem de preferência e do desempate ficto, conforme disposto neste edital, quando for o caso.</w:t>
      </w:r>
    </w:p>
    <w:p>
      <w:pPr>
        <w:pStyle w:val="Normal"/>
        <w:jc w:val="both"/>
        <w:rPr>
          <w:rFonts w:ascii="Arial" w:hAnsi="Arial" w:cs="Arial"/>
        </w:rPr>
      </w:pPr>
      <w:r>
        <w:rPr>
          <w:rFonts w:cs="Arial" w:ascii="Arial" w:hAnsi="Arial"/>
        </w:rPr>
      </w:r>
    </w:p>
    <w:p>
      <w:pPr>
        <w:pStyle w:val="Normal"/>
        <w:jc w:val="both"/>
        <w:rPr/>
      </w:pPr>
      <w:r>
        <w:rPr>
          <w:rFonts w:cs="Arial" w:ascii="Arial" w:hAnsi="Arial"/>
        </w:rPr>
        <w:t>12.19.4. Definida a melhor proposta, se a diferença em relação à proposta classificada em segundo lugar for de pelo menos 5% (cinco por cento), o Agente de contratação/Comissão,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12.19.5. Após o reinício previsto no item supra, os licitantes serão convocados para apresentar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12.20. </w:t>
      </w:r>
      <w:r>
        <w:rPr>
          <w:rFonts w:cs="Arial" w:ascii="Arial" w:hAnsi="Arial"/>
          <w:u w:val="single"/>
        </w:rPr>
        <w:t>Caso seja adotado para o envio de lances na licitação o modo de disputa “aberto e fechado”, os licitantes apresentarão lances públicos e sucessivos, com lance final e fechado.</w:t>
      </w:r>
    </w:p>
    <w:p>
      <w:pPr>
        <w:pStyle w:val="Normal"/>
        <w:jc w:val="both"/>
        <w:rPr>
          <w:rFonts w:ascii="Arial" w:hAnsi="Arial" w:cs="Arial"/>
        </w:rPr>
      </w:pPr>
      <w:r>
        <w:rPr>
          <w:rFonts w:cs="Arial" w:ascii="Arial" w:hAnsi="Arial"/>
        </w:rPr>
      </w:r>
    </w:p>
    <w:p>
      <w:pPr>
        <w:pStyle w:val="Normal"/>
        <w:jc w:val="both"/>
        <w:rPr/>
      </w:pPr>
      <w:r>
        <w:rPr>
          <w:rFonts w:cs="Arial" w:ascii="Arial" w:hAnsi="Arial"/>
        </w:rPr>
        <w:t>12.20.1. 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pPr>
        <w:pStyle w:val="Normal"/>
        <w:jc w:val="both"/>
        <w:rPr>
          <w:rFonts w:ascii="Arial" w:hAnsi="Arial" w:cs="Arial"/>
        </w:rPr>
      </w:pPr>
      <w:r>
        <w:rPr>
          <w:rFonts w:cs="Arial" w:ascii="Arial" w:hAnsi="Arial"/>
        </w:rPr>
      </w:r>
    </w:p>
    <w:p>
      <w:pPr>
        <w:pStyle w:val="Normal"/>
        <w:jc w:val="both"/>
        <w:rPr/>
      </w:pPr>
      <w:r>
        <w:rPr>
          <w:rFonts w:cs="Arial" w:ascii="Arial" w:hAnsi="Arial"/>
        </w:rPr>
        <w:t>12.20.2.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pPr>
        <w:pStyle w:val="Normal"/>
        <w:jc w:val="both"/>
        <w:rPr>
          <w:rFonts w:ascii="Arial" w:hAnsi="Arial" w:cs="Arial"/>
        </w:rPr>
      </w:pPr>
      <w:r>
        <w:rPr>
          <w:rFonts w:cs="Arial" w:ascii="Arial" w:hAnsi="Arial"/>
        </w:rPr>
      </w:r>
    </w:p>
    <w:p>
      <w:pPr>
        <w:pStyle w:val="Normal"/>
        <w:jc w:val="both"/>
        <w:rPr/>
      </w:pPr>
      <w:r>
        <w:rPr>
          <w:rFonts w:cs="Arial" w:ascii="Arial" w:hAnsi="Arial"/>
        </w:rPr>
        <w:t>12.20.3. No procedimento de que trata o subitem supra, o licitante poderá optar por manter o seu último lance da etapa aberta, ou por ofertar melhor lance.</w:t>
      </w:r>
    </w:p>
    <w:p>
      <w:pPr>
        <w:pStyle w:val="Normal"/>
        <w:jc w:val="both"/>
        <w:rPr>
          <w:rFonts w:ascii="Arial" w:hAnsi="Arial" w:cs="Arial"/>
        </w:rPr>
      </w:pPr>
      <w:r>
        <w:rPr>
          <w:rFonts w:cs="Arial" w:ascii="Arial" w:hAnsi="Arial"/>
        </w:rPr>
      </w:r>
    </w:p>
    <w:p>
      <w:pPr>
        <w:pStyle w:val="Normal"/>
        <w:jc w:val="both"/>
        <w:rPr/>
      </w:pPr>
      <w:r>
        <w:rPr>
          <w:rFonts w:cs="Arial" w:ascii="Arial" w:hAnsi="Arial"/>
        </w:rPr>
        <w:t>12.20.4.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Normal"/>
        <w:jc w:val="both"/>
        <w:rPr>
          <w:rFonts w:ascii="Arial" w:hAnsi="Arial" w:cs="Arial"/>
        </w:rPr>
      </w:pPr>
      <w:r>
        <w:rPr>
          <w:rFonts w:cs="Arial" w:ascii="Arial" w:hAnsi="Arial"/>
        </w:rPr>
      </w:r>
    </w:p>
    <w:p>
      <w:pPr>
        <w:pStyle w:val="Normal"/>
        <w:jc w:val="both"/>
        <w:rPr/>
      </w:pPr>
      <w:r>
        <w:rPr>
          <w:rFonts w:cs="Arial" w:ascii="Arial" w:hAnsi="Arial"/>
        </w:rPr>
        <w:t>12.20.5. Após o término dos prazos estabelecidos nos 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pPr>
      <w:r>
        <w:rPr>
          <w:rFonts w:cs="Arial" w:ascii="Arial" w:hAnsi="Arial"/>
        </w:rPr>
        <w:t>12.21. Caso seja adotado para o envio de lances na licitação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12.21.1. Não havendo pelo menos 3 (três) propostas nas condições definidas no item 12.22, poderão os licitantes que apresentaram as três melhores propostas, consideradas as empatadas, oferecer novos lances sucessivos.</w:t>
      </w:r>
    </w:p>
    <w:p>
      <w:pPr>
        <w:pStyle w:val="Normal"/>
        <w:jc w:val="both"/>
        <w:rPr>
          <w:rFonts w:ascii="Arial" w:hAnsi="Arial" w:cs="Arial"/>
        </w:rPr>
      </w:pPr>
      <w:r>
        <w:rPr>
          <w:rFonts w:cs="Arial" w:ascii="Arial" w:hAnsi="Arial"/>
        </w:rPr>
      </w:r>
    </w:p>
    <w:p>
      <w:pPr>
        <w:pStyle w:val="Normal"/>
        <w:jc w:val="both"/>
        <w:rPr/>
      </w:pPr>
      <w:r>
        <w:rPr>
          <w:rFonts w:cs="Arial" w:ascii="Arial" w:hAnsi="Arial"/>
        </w:rPr>
        <w:t>12.21.2. A etapa de lances da sessão pública terá duração de dez minutos e, após isso, será prorrogada automaticamente pelo sistema quando houver lance ofertado nos últimos dois minutos do período de duração da sessão pública.</w:t>
      </w:r>
    </w:p>
    <w:p>
      <w:pPr>
        <w:pStyle w:val="Normal"/>
        <w:jc w:val="both"/>
        <w:rPr>
          <w:rFonts w:ascii="Arial" w:hAnsi="Arial" w:cs="Arial"/>
        </w:rPr>
      </w:pPr>
      <w:r>
        <w:rPr>
          <w:rFonts w:cs="Arial" w:ascii="Arial" w:hAnsi="Arial"/>
        </w:rPr>
      </w:r>
    </w:p>
    <w:p>
      <w:pPr>
        <w:pStyle w:val="Normal"/>
        <w:jc w:val="both"/>
        <w:rPr/>
      </w:pPr>
      <w:r>
        <w:rPr>
          <w:rFonts w:cs="Arial" w:ascii="Arial" w:hAnsi="Arial"/>
        </w:rPr>
        <w:t>12.21.3. A prorrogação automática da etapa de lances, de que trata o subitem anterior, será de dois minutos e ocorrerá sucessivamente sempre que houver lances enviados nesse período de prorrogação, inclusive no caso de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12.21.4. Não havendo novos lances na forma estabelecida nos itens anteriores, a sessão pública encerrar-se-á automaticamente, e o sistema ordenará e divulgará os lances conforme a ordem final de classificação.</w:t>
      </w:r>
    </w:p>
    <w:p>
      <w:pPr>
        <w:pStyle w:val="Normal"/>
        <w:jc w:val="both"/>
        <w:rPr>
          <w:rFonts w:ascii="Arial" w:hAnsi="Arial"/>
        </w:rPr>
      </w:pPr>
      <w:r>
        <w:rPr>
          <w:rFonts w:ascii="Arial" w:hAnsi="Arial"/>
        </w:rPr>
      </w:r>
    </w:p>
    <w:p>
      <w:pPr>
        <w:pStyle w:val="Normal"/>
        <w:jc w:val="both"/>
        <w:rPr/>
      </w:pPr>
      <w:r>
        <w:rPr>
          <w:rFonts w:cs="Arial" w:ascii="Arial" w:hAnsi="Arial"/>
        </w:rPr>
        <w:t>12.21.5. Definida a melhor proposta, se a diferença em relação à proposta classificada em segundo lugar for de pelo menos 5% (cinco por cento), o Agente de Contratação, auxiliado pela equipe de apoio, poderá admitir o reinício da disputa aberta, para a definição das demais colocações.</w:t>
      </w:r>
    </w:p>
    <w:p>
      <w:pPr>
        <w:pStyle w:val="Normal"/>
        <w:jc w:val="both"/>
        <w:rPr>
          <w:rFonts w:ascii="Arial" w:hAnsi="Arial" w:cs="Arial"/>
        </w:rPr>
      </w:pPr>
      <w:r>
        <w:rPr>
          <w:rFonts w:cs="Arial" w:ascii="Arial" w:hAnsi="Arial"/>
        </w:rPr>
      </w:r>
    </w:p>
    <w:p>
      <w:pPr>
        <w:pStyle w:val="Normal"/>
        <w:jc w:val="both"/>
        <w:rPr/>
      </w:pPr>
      <w:r>
        <w:rPr>
          <w:rFonts w:cs="Arial" w:ascii="Arial" w:hAnsi="Arial"/>
        </w:rPr>
        <w:t>12.21.6. Após o reinício previsto no subitem supra, os licitantes serão convocados para apresentar lances intermediários.</w:t>
      </w:r>
    </w:p>
    <w:p>
      <w:pPr>
        <w:pStyle w:val="Normal"/>
        <w:jc w:val="both"/>
        <w:rPr>
          <w:rFonts w:ascii="Arial" w:hAnsi="Arial" w:cs="Arial"/>
        </w:rPr>
      </w:pPr>
      <w:r>
        <w:rPr>
          <w:rFonts w:cs="Arial" w:ascii="Arial" w:hAnsi="Arial"/>
        </w:rPr>
      </w:r>
    </w:p>
    <w:p>
      <w:pPr>
        <w:pStyle w:val="Normal"/>
        <w:jc w:val="both"/>
        <w:rPr/>
      </w:pPr>
      <w:r>
        <w:rPr>
          <w:rFonts w:cs="Arial" w:ascii="Arial" w:hAnsi="Arial"/>
        </w:rPr>
        <w:t>12.22.</w:t>
        <w:tab/>
        <w:t>Após o término dos prazos estabelecidos nos subitens anteriores, o sistema ordenará e divulgará os lances segundo a ordem crescente de valores.</w:t>
      </w:r>
    </w:p>
    <w:p>
      <w:pPr>
        <w:pStyle w:val="Normal"/>
        <w:jc w:val="both"/>
        <w:rPr>
          <w:rFonts w:ascii="Arial" w:hAnsi="Arial" w:cs="Arial"/>
        </w:rPr>
      </w:pPr>
      <w:r>
        <w:rPr>
          <w:rFonts w:cs="Arial" w:ascii="Arial" w:hAnsi="Arial"/>
        </w:rPr>
      </w:r>
    </w:p>
    <w:p>
      <w:pPr>
        <w:pStyle w:val="Normal"/>
        <w:jc w:val="both"/>
        <w:rPr/>
      </w:pPr>
      <w:r>
        <w:rPr>
          <w:rFonts w:cs="Arial" w:ascii="Arial" w:hAnsi="Arial"/>
        </w:rPr>
        <w:t>12.23. Não serão aceitos dois ou mais lances iguais, prevalecendo aquele que for recebido e registrado primeiro.</w:t>
      </w:r>
    </w:p>
    <w:p>
      <w:pPr>
        <w:pStyle w:val="Normal"/>
        <w:jc w:val="both"/>
        <w:rPr>
          <w:rFonts w:ascii="Arial" w:hAnsi="Arial" w:cs="Arial"/>
        </w:rPr>
      </w:pPr>
      <w:r>
        <w:rPr>
          <w:rFonts w:cs="Arial" w:ascii="Arial" w:hAnsi="Arial"/>
        </w:rPr>
      </w:r>
    </w:p>
    <w:p>
      <w:pPr>
        <w:pStyle w:val="Normal"/>
        <w:jc w:val="both"/>
        <w:rPr/>
      </w:pPr>
      <w:r>
        <w:rPr>
          <w:rFonts w:cs="Arial" w:ascii="Arial" w:hAnsi="Arial"/>
        </w:rPr>
        <w:t>12.24. O Critério de julgamento adotado será o menor preço global, conforme definido neste Edital e seus anexos.</w:t>
      </w:r>
    </w:p>
    <w:p>
      <w:pPr>
        <w:pStyle w:val="Normal"/>
        <w:jc w:val="both"/>
        <w:rPr>
          <w:rFonts w:cs="Arial"/>
        </w:rPr>
      </w:pPr>
      <w:r>
        <w:rPr>
          <w:rFonts w:cs="Arial"/>
        </w:rPr>
      </w:r>
    </w:p>
    <w:p>
      <w:pPr>
        <w:pStyle w:val="Normal"/>
        <w:jc w:val="both"/>
        <w:rPr/>
      </w:pPr>
      <w:r>
        <w:rPr>
          <w:rFonts w:cs="Arial" w:ascii="Arial" w:hAnsi="Arial"/>
        </w:rPr>
        <w:t>12.25. Caso o licitante não apresente lances, concorrerá com o valor de sua proposta.</w:t>
      </w:r>
    </w:p>
    <w:p>
      <w:pPr>
        <w:pStyle w:val="Normal"/>
        <w:jc w:val="both"/>
        <w:rPr>
          <w:rFonts w:ascii="Arial" w:hAnsi="Arial"/>
        </w:rPr>
      </w:pPr>
      <w:r>
        <w:rPr>
          <w:rFonts w:ascii="Arial" w:hAnsi="Arial"/>
        </w:rPr>
      </w:r>
    </w:p>
    <w:p>
      <w:pPr>
        <w:pStyle w:val="Normal"/>
        <w:jc w:val="both"/>
        <w:rPr/>
      </w:pPr>
      <w:r>
        <w:rPr>
          <w:rFonts w:cs="Arial" w:ascii="Arial" w:hAnsi="Arial"/>
          <w:color w:val="000000"/>
        </w:rPr>
        <w:t>12.26. Havendo eventual empate entre propostas ou lances, o critério de desempate será aquele previsto no art. 60 da Lei nº 14.133, de 2021, nesta ordem:</w:t>
      </w:r>
    </w:p>
    <w:p>
      <w:pPr>
        <w:pStyle w:val="Normal"/>
        <w:jc w:val="both"/>
        <w:rPr>
          <w:rFonts w:ascii="Arial" w:hAnsi="Arial" w:cs="Arial"/>
        </w:rPr>
      </w:pPr>
      <w:r>
        <w:rPr>
          <w:rFonts w:cs="Arial" w:ascii="Arial" w:hAnsi="Arial"/>
        </w:rPr>
      </w:r>
    </w:p>
    <w:p>
      <w:pPr>
        <w:pStyle w:val="Normal"/>
        <w:jc w:val="both"/>
        <w:rPr/>
      </w:pPr>
      <w:r>
        <w:rPr>
          <w:rFonts w:cs="Arial" w:ascii="Arial" w:hAnsi="Arial"/>
          <w:color w:val="000000"/>
        </w:rPr>
        <w:t>I - disputa final, hipótese em que os licitantes empatados poderão apresentar nova proposta em ato contínuo à classificação;</w:t>
      </w:r>
    </w:p>
    <w:p>
      <w:pPr>
        <w:pStyle w:val="Normal"/>
        <w:jc w:val="both"/>
        <w:rPr>
          <w:rFonts w:ascii="Arial" w:hAnsi="Arial" w:cs="Arial"/>
          <w:color w:val="000000"/>
        </w:rPr>
      </w:pPr>
      <w:r>
        <w:rPr>
          <w:rFonts w:cs="Arial" w:ascii="Arial" w:hAnsi="Arial"/>
          <w:color w:val="000000"/>
        </w:rPr>
      </w:r>
    </w:p>
    <w:p>
      <w:pPr>
        <w:pStyle w:val="Normal"/>
        <w:jc w:val="both"/>
        <w:rPr/>
      </w:pPr>
      <w:r>
        <w:rPr>
          <w:rFonts w:cs="Arial" w:ascii="Arial" w:hAnsi="Arial"/>
          <w:color w:val="000000"/>
        </w:rPr>
        <w:t>II - avaliação do desempenho contratual prévio dos licitantes, desde que haja sistema objetivo de avaliação</w:t>
      </w:r>
      <w:r>
        <w:rPr>
          <w:rFonts w:cs="Arial" w:ascii="Arial" w:hAnsi="Arial"/>
        </w:rPr>
        <w:t xml:space="preserve"> instituído, para o qual deverão preferencialmente ser utilizados registros cadastrais para efeito de atesto de cumprimento de obrigações contratuais;</w:t>
      </w:r>
    </w:p>
    <w:p>
      <w:pPr>
        <w:pStyle w:val="Normal"/>
        <w:jc w:val="both"/>
        <w:rPr>
          <w:rFonts w:ascii="Arial" w:hAnsi="Arial" w:cs="Arial"/>
        </w:rPr>
      </w:pPr>
      <w:r>
        <w:rPr>
          <w:rFonts w:cs="Arial" w:ascii="Arial" w:hAnsi="Arial"/>
        </w:rPr>
      </w:r>
    </w:p>
    <w:p>
      <w:pPr>
        <w:pStyle w:val="Normal"/>
        <w:jc w:val="both"/>
        <w:rPr/>
      </w:pPr>
      <w:r>
        <w:rPr>
          <w:rFonts w:cs="Arial" w:ascii="Arial" w:hAnsi="Arial"/>
        </w:rPr>
        <w:t>III - desenvolvimento pelo licitante de ações de equidade entre homens e mulheres no ambiente de trabalho, conforme regulamento; e</w:t>
      </w:r>
    </w:p>
    <w:p>
      <w:pPr>
        <w:pStyle w:val="Normal"/>
        <w:jc w:val="both"/>
        <w:rPr>
          <w:rFonts w:ascii="Arial" w:hAnsi="Arial" w:cs="Arial"/>
        </w:rPr>
      </w:pPr>
      <w:r>
        <w:rPr>
          <w:rFonts w:cs="Arial" w:ascii="Arial" w:hAnsi="Arial"/>
        </w:rPr>
      </w:r>
    </w:p>
    <w:p>
      <w:pPr>
        <w:pStyle w:val="Normal"/>
        <w:jc w:val="both"/>
        <w:rPr/>
      </w:pPr>
      <w:r>
        <w:rPr>
          <w:rFonts w:cs="Arial" w:ascii="Arial" w:hAnsi="Arial"/>
        </w:rPr>
        <w:t>IV - desenvolvimento pelo licitante de programa de integridade, conforme orientações dos órgãos de controle.</w:t>
      </w:r>
    </w:p>
    <w:p>
      <w:pPr>
        <w:pStyle w:val="Normal"/>
        <w:jc w:val="both"/>
        <w:rPr>
          <w:rFonts w:ascii="Arial" w:hAnsi="Arial" w:cs="Arial"/>
        </w:rPr>
      </w:pPr>
      <w:r>
        <w:rPr>
          <w:rFonts w:cs="Arial" w:ascii="Arial" w:hAnsi="Arial"/>
        </w:rPr>
      </w:r>
    </w:p>
    <w:p>
      <w:pPr>
        <w:pStyle w:val="Normal"/>
        <w:jc w:val="both"/>
        <w:rPr/>
      </w:pPr>
      <w:r>
        <w:rPr>
          <w:rFonts w:cs="Arial" w:ascii="Arial" w:hAnsi="Arial"/>
        </w:rPr>
        <w:t>12.27. Persistindo o empate, será assegurada preferência, sucessivamente, aos bens e serviços produzidos ou prestados por:</w:t>
      </w:r>
    </w:p>
    <w:p>
      <w:pPr>
        <w:pStyle w:val="Normal"/>
        <w:jc w:val="both"/>
        <w:rPr>
          <w:rFonts w:ascii="Arial" w:hAnsi="Arial" w:cs="Arial"/>
        </w:rPr>
      </w:pPr>
      <w:r>
        <w:rPr>
          <w:rFonts w:cs="Arial" w:ascii="Arial" w:hAnsi="Arial"/>
        </w:rPr>
      </w:r>
    </w:p>
    <w:p>
      <w:pPr>
        <w:pStyle w:val="Normal"/>
        <w:jc w:val="both"/>
        <w:rPr/>
      </w:pPr>
      <w:r>
        <w:rPr>
          <w:rFonts w:cs="Arial" w:ascii="Arial" w:hAnsi="Arial"/>
        </w:rPr>
        <w:t>I - empresas estabelecidas no Município de Aracruz, Estado do Espírito Santo;</w:t>
      </w:r>
    </w:p>
    <w:p>
      <w:pPr>
        <w:pStyle w:val="Normal"/>
        <w:jc w:val="both"/>
        <w:rPr>
          <w:rFonts w:ascii="Arial" w:hAnsi="Arial" w:cs="Arial"/>
        </w:rPr>
      </w:pPr>
      <w:r>
        <w:rPr>
          <w:rFonts w:cs="Arial" w:ascii="Arial" w:hAnsi="Arial"/>
        </w:rPr>
      </w:r>
    </w:p>
    <w:p>
      <w:pPr>
        <w:pStyle w:val="Normal"/>
        <w:jc w:val="both"/>
        <w:rPr/>
      </w:pPr>
      <w:r>
        <w:rPr>
          <w:rFonts w:cs="Arial" w:ascii="Arial" w:hAnsi="Arial"/>
        </w:rPr>
        <w:t>II - empresas brasileiras;</w:t>
      </w:r>
    </w:p>
    <w:p>
      <w:pPr>
        <w:pStyle w:val="Normal"/>
        <w:jc w:val="both"/>
        <w:rPr>
          <w:rFonts w:ascii="Arial" w:hAnsi="Arial" w:cs="Arial"/>
        </w:rPr>
      </w:pPr>
      <w:r>
        <w:rPr>
          <w:rFonts w:cs="Arial" w:ascii="Arial" w:hAnsi="Arial"/>
        </w:rPr>
      </w:r>
    </w:p>
    <w:p>
      <w:pPr>
        <w:pStyle w:val="Normal"/>
        <w:jc w:val="both"/>
        <w:rPr/>
      </w:pPr>
      <w:r>
        <w:rPr>
          <w:rFonts w:cs="Arial" w:ascii="Arial" w:hAnsi="Arial"/>
        </w:rPr>
        <w:t>III - empresas que invistam em pesquisa e no desenvolvimento de tecnologia no País; e</w:t>
      </w:r>
    </w:p>
    <w:p>
      <w:pPr>
        <w:pStyle w:val="Normal"/>
        <w:jc w:val="both"/>
        <w:rPr>
          <w:rFonts w:ascii="Arial" w:hAnsi="Arial" w:cs="Arial"/>
        </w:rPr>
      </w:pPr>
      <w:r>
        <w:rPr>
          <w:rFonts w:cs="Arial" w:ascii="Arial" w:hAnsi="Arial"/>
        </w:rPr>
      </w:r>
    </w:p>
    <w:p>
      <w:pPr>
        <w:pStyle w:val="Normal"/>
        <w:jc w:val="both"/>
        <w:rPr/>
      </w:pPr>
      <w:r>
        <w:rPr>
          <w:rFonts w:cs="Arial" w:ascii="Arial" w:hAnsi="Arial"/>
        </w:rPr>
        <w:t>IV - empresas que comprovem a prática de mitigação, nos termos da Lei Federal nº 12.187, de 29 de dezembro de 2009.</w:t>
      </w:r>
    </w:p>
    <w:p>
      <w:pPr>
        <w:pStyle w:val="Normal"/>
        <w:jc w:val="both"/>
        <w:rPr>
          <w:rFonts w:ascii="Arial" w:hAnsi="Arial" w:cs="Arial"/>
        </w:rPr>
      </w:pPr>
      <w:r>
        <w:rPr>
          <w:rFonts w:cs="Arial" w:ascii="Arial" w:hAnsi="Arial"/>
        </w:rPr>
      </w:r>
    </w:p>
    <w:p>
      <w:pPr>
        <w:pStyle w:val="Normal"/>
        <w:jc w:val="both"/>
        <w:rPr/>
      </w:pPr>
      <w:r>
        <w:rPr>
          <w:rFonts w:cs="Arial" w:ascii="Arial" w:hAnsi="Arial"/>
        </w:rPr>
        <w:t>12.28. Caso as regras estabelecidas nos itens 12.26 e 12.27 não solucionem o desempate, será realizado sorteio em sessão pública.</w:t>
      </w:r>
    </w:p>
    <w:p>
      <w:pPr>
        <w:pStyle w:val="Normal"/>
        <w:jc w:val="both"/>
        <w:rPr>
          <w:rFonts w:ascii="Arial" w:hAnsi="Arial" w:cs="Arial"/>
          <w:color w:val="FF0000"/>
        </w:rPr>
      </w:pPr>
      <w:r>
        <w:rPr>
          <w:rFonts w:cs="Arial" w:ascii="Arial" w:hAnsi="Arial"/>
          <w:color w:val="FF0000"/>
        </w:rPr>
      </w:r>
    </w:p>
    <w:p>
      <w:pPr>
        <w:pStyle w:val="Normal"/>
        <w:jc w:val="both"/>
        <w:rPr/>
      </w:pPr>
      <w:r>
        <w:rPr>
          <w:rFonts w:cs="Arial" w:ascii="Arial" w:hAnsi="Arial"/>
        </w:rPr>
        <w:t>12.29. Encerrada a etapa de envio de lances da sessão pública, o Agente de Contratação poderá encaminhar, pelo sistema eletrônico, contraproposta diretamente à licitante que tenha apresentado o lance mais vantajoso, para que seja obtida melhor proposta, observado o critério de julgamento, não se admitindo negociar condições diferentes daquelas previstas neste Edital.</w:t>
      </w:r>
    </w:p>
    <w:p>
      <w:pPr>
        <w:pStyle w:val="Normal"/>
        <w:jc w:val="both"/>
        <w:rPr>
          <w:rFonts w:ascii="Arial" w:hAnsi="Arial" w:cs="Arial"/>
        </w:rPr>
      </w:pPr>
      <w:r>
        <w:rPr>
          <w:rFonts w:cs="Arial" w:ascii="Arial" w:hAnsi="Arial"/>
        </w:rPr>
      </w:r>
    </w:p>
    <w:p>
      <w:pPr>
        <w:pStyle w:val="Normal"/>
        <w:jc w:val="both"/>
        <w:rPr/>
      </w:pPr>
      <w:r>
        <w:rPr>
          <w:rFonts w:cs="Arial" w:ascii="Arial" w:hAnsi="Arial"/>
        </w:rPr>
        <w:t>12.29.1.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pPr>
        <w:pStyle w:val="Normal"/>
        <w:jc w:val="both"/>
        <w:rPr>
          <w:rFonts w:ascii="Arial" w:hAnsi="Arial" w:cs="Arial"/>
        </w:rPr>
      </w:pPr>
      <w:r>
        <w:rPr>
          <w:rFonts w:cs="Arial" w:ascii="Arial" w:hAnsi="Arial"/>
        </w:rPr>
      </w:r>
    </w:p>
    <w:p>
      <w:pPr>
        <w:pStyle w:val="Normal"/>
        <w:jc w:val="both"/>
        <w:rPr/>
      </w:pPr>
      <w:r>
        <w:rPr>
          <w:rFonts w:cs="Arial" w:ascii="Arial" w:hAnsi="Arial"/>
        </w:rPr>
        <w:t>12.30. A negociação será realizada por meio do sistema, podendo ser acompanhada pelos demais licitantes.</w:t>
      </w:r>
    </w:p>
    <w:p>
      <w:pPr>
        <w:pStyle w:val="Normal"/>
        <w:jc w:val="both"/>
        <w:rPr>
          <w:rFonts w:ascii="Arial" w:hAnsi="Arial" w:cs="Arial"/>
        </w:rPr>
      </w:pPr>
      <w:r>
        <w:rPr>
          <w:rFonts w:cs="Arial" w:ascii="Arial" w:hAnsi="Arial"/>
        </w:rPr>
      </w:r>
    </w:p>
    <w:p>
      <w:pPr>
        <w:pStyle w:val="Normal"/>
        <w:jc w:val="both"/>
        <w:rPr/>
      </w:pPr>
      <w:r>
        <w:rPr>
          <w:rFonts w:cs="Arial" w:ascii="Arial" w:hAnsi="Arial"/>
        </w:rPr>
        <w:t>12.31. O resultado da negociação será divulgado a todos os licitantes e anexado aos autos do processo licitatório.</w:t>
      </w:r>
    </w:p>
    <w:p>
      <w:pPr>
        <w:pStyle w:val="Normal"/>
        <w:jc w:val="both"/>
        <w:rPr>
          <w:b/>
          <w:b/>
          <w:bCs/>
          <w:u w:val="single"/>
        </w:rPr>
      </w:pPr>
      <w:r>
        <w:rPr>
          <w:b/>
          <w:bCs/>
          <w:u w:val="single"/>
        </w:rPr>
      </w:r>
    </w:p>
    <w:p>
      <w:pPr>
        <w:pStyle w:val="Normal"/>
        <w:jc w:val="both"/>
        <w:rPr>
          <w:b/>
          <w:b/>
          <w:bCs/>
          <w:u w:val="single"/>
        </w:rPr>
      </w:pPr>
      <w:r>
        <w:rPr>
          <w:rFonts w:cs="Arial" w:ascii="Arial" w:hAnsi="Arial"/>
          <w:b/>
          <w:bCs/>
          <w:u w:val="single"/>
        </w:rPr>
        <w:t>12.32. É vedada a desistência dos lances já ofertados sujeitando-se o proponente às sanções previstas nas leis pertinentes.</w:t>
      </w:r>
    </w:p>
    <w:p>
      <w:pPr>
        <w:pStyle w:val="Normal"/>
        <w:jc w:val="both"/>
        <w:rPr/>
      </w:pPr>
      <w:r>
        <w:rPr>
          <w:rFonts w:cs="Arial" w:ascii="Arial" w:hAnsi="Arial"/>
        </w:rPr>
        <w:t>12.33. Após a fase de negociação, como condição prévia a convocação da licitante detentora da proposta classificada em primeiro lugar para apresentar a proposta adequada ao ultimo lance, o Agente de Contratação verificará o eventual descumprimento das condições de participação, especialmente quanto à existência de sanção que impeça a sua participação no certame ou a futura contratação, mediante a consulta aos seguintes cadastros:</w:t>
      </w:r>
    </w:p>
    <w:p>
      <w:pPr>
        <w:pStyle w:val="Normal"/>
        <w:jc w:val="both"/>
        <w:rPr>
          <w:rFonts w:ascii="Arial" w:hAnsi="Arial" w:cs="Arial"/>
        </w:rPr>
      </w:pPr>
      <w:r>
        <w:rPr>
          <w:rFonts w:cs="Arial" w:ascii="Arial" w:hAnsi="Arial"/>
        </w:rPr>
      </w:r>
    </w:p>
    <w:p>
      <w:pPr>
        <w:pStyle w:val="Normal"/>
        <w:jc w:val="both"/>
        <w:rPr/>
      </w:pPr>
      <w:r>
        <w:rPr>
          <w:rFonts w:cs="Arial" w:ascii="Arial" w:hAnsi="Arial"/>
        </w:rPr>
        <w:t>12.33.1. Cadastro Nacional de Empresas Inidôneas e Suspensas – CEIS, mantido pela Controladoria-Geral da União (</w:t>
      </w:r>
      <w:hyperlink r:id="rId15">
        <w:r>
          <w:rPr>
            <w:rStyle w:val="LinkdaInternet"/>
            <w:rFonts w:cs="Arial" w:ascii="Arial" w:hAnsi="Arial"/>
          </w:rPr>
          <w:t>http://www.portaltransparencia.gov.br/sancoes/ceis</w:t>
        </w:r>
      </w:hyperlink>
      <w:r>
        <w:rPr>
          <w:rFonts w:cs="Arial" w:ascii="Arial" w:hAnsi="Arial"/>
        </w:rPr>
        <w:t>);</w:t>
      </w:r>
    </w:p>
    <w:p>
      <w:pPr>
        <w:pStyle w:val="Normal"/>
        <w:jc w:val="both"/>
        <w:rPr>
          <w:rFonts w:ascii="Arial" w:hAnsi="Arial" w:cs="Arial"/>
        </w:rPr>
      </w:pPr>
      <w:r>
        <w:rPr>
          <w:rFonts w:cs="Arial" w:ascii="Arial" w:hAnsi="Arial"/>
        </w:rPr>
      </w:r>
    </w:p>
    <w:p>
      <w:pPr>
        <w:pStyle w:val="Normal"/>
        <w:jc w:val="both"/>
        <w:rPr/>
      </w:pPr>
      <w:r>
        <w:rPr>
          <w:rFonts w:cs="Arial" w:ascii="Arial" w:hAnsi="Arial"/>
        </w:rPr>
        <w:t>12.33.2. Certidão Negativa de Licitante Inidôneo, expedida pelo Tribunal de Contas da União (</w:t>
      </w:r>
      <w:hyperlink r:id="rId16">
        <w:r>
          <w:rPr>
            <w:rStyle w:val="LinkdaInternet"/>
            <w:rFonts w:cs="Arial" w:ascii="Arial" w:hAnsi="Arial"/>
          </w:rPr>
          <w:t>https://contas.tcu.gov.br/ords/f?p=1660:3:::NO:3,4,6::&amp;cs=3THEaOzL2JICblxJYqGT55NfWciw</w:t>
        </w:r>
      </w:hyperlink>
      <w:r>
        <w:rPr>
          <w:rFonts w:cs="Arial" w:ascii="Arial" w:hAnsi="Arial"/>
        </w:rPr>
        <w:t xml:space="preserve">) </w:t>
      </w:r>
    </w:p>
    <w:p>
      <w:pPr>
        <w:pStyle w:val="Normal"/>
        <w:jc w:val="both"/>
        <w:rPr>
          <w:rFonts w:ascii="Arial" w:hAnsi="Arial" w:cs="Arial"/>
        </w:rPr>
      </w:pPr>
      <w:r>
        <w:rPr>
          <w:rFonts w:cs="Arial" w:ascii="Arial" w:hAnsi="Arial"/>
        </w:rPr>
      </w:r>
    </w:p>
    <w:p>
      <w:pPr>
        <w:pStyle w:val="Normal"/>
        <w:jc w:val="both"/>
        <w:rPr/>
      </w:pPr>
      <w:r>
        <w:rPr>
          <w:rFonts w:cs="Arial" w:ascii="Arial" w:hAnsi="Arial"/>
        </w:rPr>
        <w:t>12.34. 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Normal"/>
        <w:jc w:val="both"/>
        <w:rPr>
          <w:rFonts w:ascii="Arial" w:hAnsi="Arial" w:cs="Arial"/>
        </w:rPr>
      </w:pPr>
      <w:r>
        <w:rPr>
          <w:rFonts w:cs="Arial" w:ascii="Arial" w:hAnsi="Arial"/>
        </w:rPr>
      </w:r>
    </w:p>
    <w:p>
      <w:pPr>
        <w:pStyle w:val="Normal"/>
        <w:jc w:val="both"/>
        <w:rPr/>
      </w:pPr>
      <w:r>
        <w:rPr>
          <w:rFonts w:cs="Arial" w:ascii="Arial" w:hAnsi="Arial"/>
        </w:rPr>
        <w:t>12.35. Caso conste na Consulta de Situação do l</w:t>
      </w:r>
      <w:r>
        <w:rPr>
          <w:rFonts w:cs="Arial" w:ascii="Arial" w:hAnsi="Arial"/>
          <w:color w:val="000000"/>
        </w:rPr>
        <w:t xml:space="preserve">icitante </w:t>
      </w:r>
      <w:r>
        <w:rPr>
          <w:rFonts w:cs="Arial" w:ascii="Arial" w:hAnsi="Arial"/>
        </w:rPr>
        <w:t xml:space="preserve">a existência de Ocorrências Impeditivas Indiretas, o Agente de Contratação </w:t>
      </w:r>
      <w:r>
        <w:rPr>
          <w:rFonts w:cs="Arial" w:ascii="Arial" w:hAnsi="Arial"/>
          <w:color w:val="000000"/>
        </w:rPr>
        <w:t>diligenciará para v</w:t>
      </w:r>
      <w:r>
        <w:rPr>
          <w:rFonts w:cs="Arial" w:ascii="Arial" w:hAnsi="Arial"/>
        </w:rPr>
        <w:t>erificar se houve fraude por parte das empresas apontadas no Relatório de Ocorrências Impeditivas Indiretas.</w:t>
      </w:r>
    </w:p>
    <w:p>
      <w:pPr>
        <w:pStyle w:val="Normal"/>
        <w:jc w:val="both"/>
        <w:rPr>
          <w:rFonts w:ascii="Arial" w:hAnsi="Arial" w:cs="Arial"/>
        </w:rPr>
      </w:pPr>
      <w:r>
        <w:rPr>
          <w:rFonts w:cs="Arial" w:ascii="Arial" w:hAnsi="Arial"/>
        </w:rPr>
      </w:r>
    </w:p>
    <w:p>
      <w:pPr>
        <w:pStyle w:val="Nivel3"/>
        <w:spacing w:lineRule="auto" w:line="240" w:before="0" w:after="0"/>
        <w:ind w:left="0" w:hanging="0"/>
        <w:rPr/>
      </w:pPr>
      <w:r>
        <w:rPr>
          <w:rFonts w:eastAsia="Arial MT" w:ascii="Arial" w:hAnsi="Arial"/>
          <w:sz w:val="22"/>
          <w:szCs w:val="22"/>
          <w:lang w:val="pt-PT" w:eastAsia="en-US"/>
        </w:rPr>
        <w:t>12.35.1. A tentativa de burla será verificada por meio dos vínculos societários, linhas de fornecimento similares, dentre outros.</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3"/>
        <w:spacing w:lineRule="auto" w:line="240" w:before="0" w:after="0"/>
        <w:ind w:left="0" w:hanging="0"/>
        <w:rPr/>
      </w:pPr>
      <w:r>
        <w:rPr>
          <w:rFonts w:eastAsia="Arial MT" w:ascii="Arial" w:hAnsi="Arial"/>
          <w:sz w:val="22"/>
          <w:szCs w:val="22"/>
          <w:lang w:val="pt-PT" w:eastAsia="en-US"/>
        </w:rPr>
        <w:t>12.35.2. O licitante será convocado para manifestação previamente a uma eventual desclassificação.</w:t>
      </w:r>
    </w:p>
    <w:p>
      <w:pPr>
        <w:pStyle w:val="Nivel3"/>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ormal"/>
        <w:jc w:val="both"/>
        <w:rPr/>
      </w:pPr>
      <w:r>
        <w:rPr>
          <w:rFonts w:cs="Arial" w:ascii="Arial" w:hAnsi="Arial"/>
        </w:rPr>
        <w:t>12.35.3. Constatada a existência de sanção, o licitante será reputado inabilitado, por falta de condição de participação.</w:t>
      </w:r>
    </w:p>
    <w:p>
      <w:pPr>
        <w:pStyle w:val="Normal"/>
        <w:jc w:val="both"/>
        <w:rPr>
          <w:rFonts w:ascii="Arial" w:hAnsi="Arial"/>
        </w:rPr>
      </w:pPr>
      <w:r>
        <w:rPr>
          <w:rFonts w:ascii="Arial" w:hAnsi="Arial"/>
        </w:rPr>
      </w:r>
    </w:p>
    <w:p>
      <w:pPr>
        <w:pStyle w:val="Normal"/>
        <w:jc w:val="both"/>
        <w:rPr>
          <w:b/>
          <w:b/>
          <w:bCs/>
        </w:rPr>
      </w:pPr>
      <w:r>
        <w:rPr>
          <w:rFonts w:cs="Arial" w:ascii="Arial" w:hAnsi="Arial"/>
          <w:b/>
          <w:bCs/>
        </w:rPr>
        <w:t>12.36. A Licitante melhor classificada será convocada para reelaborar e apresentar a Administração, por meio eletrônico, pela aba “documentos complementares”, a PROPOSTA DE PREÇOS adequada ao seu último lance, no prazo máximo de 24 (vinte e quatro) horas, juntamente com as planilhas indicando os quantitativos e custos unitários, seguindo o modelo elaborado pela Administração, o Cronograma Físico-Financeiro e Critérios de Pagamentos, bem como o detalhamento das bonificações e Despesas Indiretas (BDI) e dos Encargos Sociais (ES), no que couber, sujeitando se a Licitante às sanções previstas neste Edital.</w:t>
      </w:r>
    </w:p>
    <w:p>
      <w:pPr>
        <w:pStyle w:val="Normal"/>
        <w:jc w:val="both"/>
        <w:rPr>
          <w:rFonts w:ascii="Arial" w:hAnsi="Arial" w:cs="Arial"/>
        </w:rPr>
      </w:pPr>
      <w:r>
        <w:rPr>
          <w:rFonts w:cs="Arial" w:ascii="Arial" w:hAnsi="Arial"/>
        </w:rPr>
      </w:r>
    </w:p>
    <w:p>
      <w:pPr>
        <w:pStyle w:val="Normal"/>
        <w:jc w:val="both"/>
        <w:rPr>
          <w:b/>
          <w:b/>
          <w:bCs/>
        </w:rPr>
      </w:pPr>
      <w:r>
        <w:rPr>
          <w:rFonts w:cs="Arial" w:ascii="Arial" w:hAnsi="Arial"/>
          <w:b/>
          <w:bCs/>
        </w:rPr>
        <w:t>12.37. Além da proposta de preços atualizada, na forma do item anterior (item 12.36), a licitante melhor classificada deverá apresentar, no prazo de 03 (três) dias úteis, a composição analítica dos preços unitários de todos os itens da planilha orçamentária, discriminando as parcelas relativas à mão de obra, materiais, equipamentos e serviços.</w:t>
      </w:r>
    </w:p>
    <w:p>
      <w:pPr>
        <w:pStyle w:val="Normal"/>
        <w:jc w:val="both"/>
        <w:rPr>
          <w:rFonts w:ascii="Arial" w:hAnsi="Arial" w:cs="Arial"/>
        </w:rPr>
      </w:pPr>
      <w:r>
        <w:rPr>
          <w:rFonts w:cs="Arial" w:ascii="Arial" w:hAnsi="Arial"/>
        </w:rPr>
      </w:r>
    </w:p>
    <w:p>
      <w:pPr>
        <w:pStyle w:val="Normal"/>
        <w:jc w:val="both"/>
        <w:rPr/>
      </w:pPr>
      <w:r>
        <w:rPr>
          <w:rFonts w:cs="Arial" w:ascii="Arial" w:hAnsi="Arial"/>
        </w:rPr>
        <w:t>12.37.1. Será analisada a adequação da composição dos preços unitários às especificações dos serviços constantes na Planilha orçamentária e no Projeto, sendo desclassificado o licitante que não atender a convocação para adequar a composição apresentada, no prazo de 3 (três) dias úteis, vedada a alteração dos valores unitários e global da proposta, sob pena de desclassificação da licitante e aplicação das penalidades previstas no edital.</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12.38. Para maior agilidade na análise dos documentos, deverá ser enviado arquivo digital, contendo a planilha orçamentária e as composições analíticas de custos unitários em formato editável para o e-mail </w:t>
      </w:r>
      <w:hyperlink r:id="rId17">
        <w:r>
          <w:rPr>
            <w:rStyle w:val="LinkdaInternet"/>
            <w:rFonts w:cs="Arial" w:ascii="Arial" w:hAnsi="Arial"/>
          </w:rPr>
          <w:t>licitacao@aracruz.es.gov.br</w:t>
        </w:r>
      </w:hyperlink>
      <w:r>
        <w:rPr>
          <w:rFonts w:cs="Arial" w:ascii="Arial" w:hAnsi="Arial"/>
        </w:rPr>
        <w:t>.</w:t>
      </w:r>
    </w:p>
    <w:p>
      <w:pPr>
        <w:pStyle w:val="Normal"/>
        <w:jc w:val="both"/>
        <w:rPr/>
      </w:pPr>
      <w:r>
        <w:rPr>
          <w:rFonts w:cs="Arial" w:ascii="Arial" w:hAnsi="Arial"/>
        </w:rPr>
        <w:t xml:space="preserve">12.38.1. Nos documentos apresentados, todos os valores deverão estar expressos com, no máximo, 02 (duas) casas decimais. </w:t>
      </w:r>
    </w:p>
    <w:p>
      <w:pPr>
        <w:pStyle w:val="Normal"/>
        <w:jc w:val="both"/>
        <w:rPr>
          <w:rFonts w:ascii="Arial" w:hAnsi="Arial" w:cs="Arial"/>
        </w:rPr>
      </w:pPr>
      <w:r>
        <w:rPr>
          <w:rFonts w:cs="Arial" w:ascii="Arial" w:hAnsi="Arial"/>
        </w:rPr>
      </w:r>
    </w:p>
    <w:p>
      <w:pPr>
        <w:pStyle w:val="Normal"/>
        <w:jc w:val="both"/>
        <w:rPr/>
      </w:pPr>
      <w:r>
        <w:rPr>
          <w:rFonts w:cs="Arial" w:ascii="Arial" w:hAnsi="Arial"/>
        </w:rPr>
        <w:t>12.39. Após a negociação do preço, o Agente de Contratações iniciará a fase de aceitação e julgamento da proposta.</w:t>
      </w:r>
    </w:p>
    <w:p>
      <w:pPr>
        <w:pStyle w:val="Normal"/>
        <w:jc w:val="both"/>
        <w:rPr>
          <w:rFonts w:ascii="Arial" w:hAnsi="Arial" w:cs="Arial"/>
        </w:rPr>
      </w:pPr>
      <w:r>
        <w:rPr>
          <w:rFonts w:cs="Arial" w:ascii="Arial" w:hAnsi="Arial"/>
        </w:rPr>
      </w:r>
    </w:p>
    <w:p>
      <w:pPr>
        <w:pStyle w:val="Normal"/>
        <w:jc w:val="both"/>
        <w:rPr>
          <w:rFonts w:ascii="Arial" w:hAnsi="Arial" w:cs="Arial"/>
          <w:b/>
          <w:b/>
          <w:color w:val="000000"/>
        </w:rPr>
      </w:pPr>
      <w:r>
        <w:rPr>
          <w:rFonts w:cs="Arial" w:ascii="Arial" w:hAnsi="Arial"/>
          <w:b/>
          <w:color w:val="000000"/>
        </w:rPr>
      </w:r>
    </w:p>
    <w:p>
      <w:pPr>
        <w:pStyle w:val="Normal"/>
        <w:jc w:val="both"/>
        <w:rPr/>
      </w:pPr>
      <w:r>
        <w:rPr>
          <w:rFonts w:cs="Arial" w:ascii="Arial" w:hAnsi="Arial"/>
          <w:b/>
          <w:color w:val="000000"/>
        </w:rPr>
        <w:t>13. DA ACEITABILIDADE DA PROPOSTA VENCEDORA</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color w:val="000000"/>
        </w:rPr>
        <w:t>13.1. Verificadas as condições de participação, o Agente de Contratação examinará a proposta classificada em primeiro lugar quanto à adequação ao objeto e à compatibilidade do p</w:t>
      </w:r>
      <w:r>
        <w:rPr>
          <w:rFonts w:cs="Arial" w:ascii="Arial" w:hAnsi="Arial"/>
        </w:rPr>
        <w:t>reço em relação ao máximo estipulado para contratação neste Edital e em seus anexos.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 Para julgamento, será adotado o critério de MENOR PREÇO GLOBAL, observados o valor máximo aceitável e demais condições definidas neste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13.3. Os preços globais e unitários não poderão ultrapassar os valores orçados pelo Município, constante na planilha orçamentária, anexa ao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13.4. Na verificação da conformidade da melhor proposta apresentada com os requisitos do instrumento convocatório, será desclassificada aquela que: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13.4.1. Contenha vícios insanáveis;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13.4.2. Não obedeça às especificações técnicas contidas no Projeto Básico;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13.4.3. Apresente preço final superior ao preço máximo fixado ou que apresente preço manifestamente inexequível;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13.4.4. Não tenha sua exequibilidade demonstrada, quando exigido pela Administração Pública;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13.4.5. Apresente desconformidade com quaisquer outras exigências deste Edital ou seus anexos, desde que insanável.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13.5. O Agente de Contratação poderá realizar diligências para aferir a exequibilidade da proposta mais bem classificada ou exigir do Licitante que ela seja demonstrada.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13.6. No caso de obras e serviços de engenharia serão consideradas inexequíveis as propostas cujos valores forem inferiores a 75% (setenta e cinco por cento) do valor orçado pela Administração, conforme disposto no art. 59, § 4º,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13.7. Nas contratações de obras e serviços de engenharia será exigida garantia adicional do licitante vencedor cuja proposta for inferior a 85% (oitenta e cinco por cento) do valor orçado pela Administração, equivalente à diferença entre este último e o valor da proposta, sem prejuízo das demais garantias exigíveis, conforme disposto no art. 59, § 5º,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13.7.1. A Garantia Adicional será apresentada pela empresa vencedora do certame no momento da assinatura do contrato.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13.8. A Administração conferirá ao Licitante a oportunidade de demonstrar a exequibilidade da sua proposta, considerados o preço global, os quantitativos e os preços unitários relevantes.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13.9. Na hipótese acima, o Licitante deverá demonstrar que o valor da proposta é compatível com a execução do objeto licitado no que se refere aos custos dos insumos e aos coeficientes de produtividade adotados nas composições do valor global.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13.10. A análise de exequibilidade da proposta não considerará materiais e instalações a serem fornecidos pelo Licitante em relação aos quais ele renuncie a parcela ou à totalidade da remuneração, desde que a renúncia esteja expressa na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13.11. Em contratação de serviços de engenharia, além das disposições acima, a análise de exequibilidade e sobrepreço considerará o seguinte: a caracterização do sobrepreço se dará pela superação do valor estimado.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13.12. Qualquer interessado poderá requerer que se realizem diligências para aferir a exequibilidade e a legalidade das propostas, devendo apresentar as provas ou os indícios que fundamentam a suspeita.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13.13. A licitante que apresentar indícios de inexequibilidade será concedido o prazo de 02 (dois) dias úteis para apresentar justificativas e comprovações em relação aos custos com indícios de inexequibilidade, sob pena de desclassificação da proposta, nos moldes do art. 59, §2º da Lei 14.133/2021.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13.14. 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13.14.1 O ajuste de que trata este dispositivo se limita a sanar erros ou falhas que não alterem a substância das propostas.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13.14.2 Considera-se erro no preenchimento da planilha passível de correção a indicação de recolhimento de impostos e contribuições na forma do Simples Nacional, quando não cabível esse regime.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13.15. Evidenciados erros passíveis de correção, que não tenham cunho substancial, será concedido à licitante o prazo de 03 (três) dias úteis para adequação dos erros, sendo que a adequação não poderá resultar em aumento do valor global da proposta, sob pena de desclassificação da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13.16. No caso de discordância entre valores numéricos e por extenso, prevalecerão estes últimos e, entre preços unitários e totais, os primeiros.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13.17. Não se considerará qualquer oferta de vantagem não prevista neste edital, inclusive financiamentos subsidiados ou a fundo perdido.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13.18. 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13.19. Não será aceita proposta que, após a fase de lance/negociação, estiver com preço superior ao máximo fixado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13.20. Na hipótese de necessidade de suspensão da sessão pública para a realização de diligências, com vistas ao saneamento das propostas, a sessão pública somente poderá ser reiniciada mediante aviso prévio no sistema com, no mínimo, 24h (vinte e quatro horas) de antecedência, e a ocorrência será registrada em ata.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13.21. O Agente de Contratação poderá convocar o licitante para enviar documento digital complementar, por meio de funcionalidade disponível no sistema, no prazo de 24 (vinte e quatro) horas, sob pena de não aceitação da proposta.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13.21.1. O prazo estabelecido poderá ser prorrogado pelo Agente de Contratação por solicitação escrita e justificadado licitante, formulada antes de findo o prazo, e formalmente aceita pelo Agente de Contratações.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13.22. Se a proposta ou lance vencedor for desclassificado, o Agente de Contratação examinará a proposta ou lance subsequente, e, assim sucessivamente, na ordem de classificação.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13.23. O Agente de Contratações deverá encaminhar, por meio do sistema eletrônico, contraproposta ao licitante que apresentou o lance mais vantajoso, com o fim de negociar a obtenção de melhor preço, vedada a negociação em condições diversas das previstas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13.24. A negociação será realizada por meio do sistema, podendo ser acompanhada pelos demais licitantes pelo “chat”.</w:t>
      </w:r>
    </w:p>
    <w:p>
      <w:pPr>
        <w:pStyle w:val="Normal"/>
        <w:jc w:val="both"/>
        <w:rPr>
          <w:rFonts w:ascii="Arial" w:hAnsi="Arial" w:cs="Arial"/>
          <w:highlight w:val="yellow"/>
        </w:rPr>
      </w:pPr>
      <w:r>
        <w:rPr>
          <w:rFonts w:cs="Arial" w:ascii="Arial" w:hAnsi="Arial"/>
          <w:highlight w:val="yellow"/>
        </w:rPr>
      </w:r>
    </w:p>
    <w:p>
      <w:pPr>
        <w:pStyle w:val="Normal"/>
        <w:jc w:val="both"/>
        <w:rPr>
          <w:rFonts w:ascii="Arial" w:hAnsi="Arial"/>
        </w:rPr>
      </w:pPr>
      <w:r>
        <w:rPr>
          <w:rFonts w:cs="Arial" w:ascii="Arial" w:hAnsi="Arial"/>
        </w:rPr>
        <w:t>13.25. Havendo necessidade, o Agente de Contratação suspenderá a sessão, informando no “chat” a nova data e horário para a sua continuidade, mediante aviso prévio no sistema, com no mínimo,</w:t>
      </w:r>
      <w:r>
        <w:rPr>
          <w:rFonts w:cs="Arial" w:ascii="Arial" w:hAnsi="Arial"/>
          <w:color w:val="000000"/>
        </w:rPr>
        <w:t xml:space="preserve"> 24 (vinte e quatro) horas de antecedência, e a ocorrência</w:t>
      </w:r>
      <w:r>
        <w:rPr>
          <w:rFonts w:cs="Arial" w:ascii="Arial" w:hAnsi="Arial"/>
        </w:rPr>
        <w:t xml:space="preserve">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13.26. Para fins de análise da proposta quanto ao cumprimento das especificações do objeto, será colhida a manifestação escrita do setor requisitante do serviço ou da área especializada no objeto.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13.27. O Agente de Contratações anunciará o licitante detentor da proposta ou lance de menor valor/ maior vantajosidade imediatamente após a fase de aceitação das propostas ou, quando for o caso, após negociação e decisão pelo Agente de Contratações acerca da aceitação do lance de menor valor/mais vantajoso.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rPr>
        <w:t>14. DO ENVIO DA HABILITAÇÃO</w:t>
      </w:r>
    </w:p>
    <w:p>
      <w:pPr>
        <w:pStyle w:val="Normal"/>
        <w:jc w:val="both"/>
        <w:rPr>
          <w:rFonts w:ascii="Arial" w:hAnsi="Arial" w:cs="Arial"/>
          <w:b/>
          <w:b/>
        </w:rPr>
      </w:pPr>
      <w:r>
        <w:rPr>
          <w:rFonts w:cs="Arial" w:ascii="Arial" w:hAnsi="Arial"/>
          <w:b/>
        </w:rPr>
      </w:r>
    </w:p>
    <w:p>
      <w:pPr>
        <w:pStyle w:val="Normal"/>
        <w:jc w:val="both"/>
        <w:rPr/>
      </w:pPr>
      <w:r>
        <w:rPr>
          <w:rFonts w:cs="Arial" w:ascii="Arial" w:hAnsi="Arial"/>
        </w:rPr>
        <w:t xml:space="preserve">14.1. </w:t>
      </w:r>
      <w:r>
        <w:rPr>
          <w:rFonts w:cs="Arial" w:ascii="Arial" w:hAnsi="Arial"/>
          <w:b/>
          <w:u w:val="single"/>
        </w:rPr>
        <w:t>O licitante classificado em primeiro lugar deverá anexar exclusivamente por meio da plataforma do sistema BLL (</w:t>
      </w:r>
      <w:hyperlink r:id="rId18">
        <w:r>
          <w:rPr>
            <w:rStyle w:val="LinkdaInternet"/>
            <w:rFonts w:cs="Arial" w:ascii="Arial" w:hAnsi="Arial"/>
            <w:b/>
          </w:rPr>
          <w:t>http://bll.org.br</w:t>
        </w:r>
      </w:hyperlink>
      <w:r>
        <w:rPr>
          <w:rFonts w:cs="Arial" w:ascii="Arial" w:hAnsi="Arial"/>
          <w:b/>
          <w:u w:val="single"/>
        </w:rPr>
        <w:t>), a documentação de habilitação, no prazo de 24 (vinte e quatro) horas, contados a partir da solicitação do Agente de Contratação.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14.1.1. Se a licitante classificado em primeiro lugar não atender as exigências de habilitação, a mesma será inabilitada e o Agente de Contratação examinará a proposta subsequente, verificando a sua aceitabilidade, na ordem de classificação, e assim sucessivamente, até a apuração de uma proposta que atenda ao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 Será considerado habilitado o licitante que apresentar os documentos relacionados nos subitens 14.17 a 14.21.</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14.2.1. O licitante que participar do certame declarando que cumpre os requisitos de habilitação e não cumpri-los, será inabilitado e estará sujeito às penalidades previ</w:t>
      </w:r>
      <w:r>
        <w:rPr>
          <w:rFonts w:cs="Arial" w:ascii="Arial" w:hAnsi="Arial"/>
          <w:color w:val="3A1A0F"/>
        </w:rPr>
        <w:t>stas no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14.3. Quando permitida a participação de empresas estrangeiras que não funcionem no País, as exigências de habilitação serão atendidas mediante documentos equivalentes, inicialmente apresentados em tradução livre.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14.4. 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Decreto nº 8.660, de 29 de janeiro de 2016, ou de outro que venha a substituí-lo, ou consularizados pelos respectivos consulados ou embaixadas.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14.5. Constituem motivos para inabilitação do licitante:</w:t>
      </w:r>
    </w:p>
    <w:p>
      <w:pPr>
        <w:pStyle w:val="Normal"/>
        <w:tabs>
          <w:tab w:val="clear" w:pos="720"/>
          <w:tab w:val="left" w:pos="4828" w:leader="none"/>
        </w:tabs>
        <w:jc w:val="both"/>
        <w:rPr>
          <w:rFonts w:ascii="Arial" w:hAnsi="Arial" w:cs="Arial"/>
        </w:rPr>
      </w:pPr>
      <w:r>
        <w:rPr>
          <w:rFonts w:cs="Arial" w:ascii="Arial" w:hAnsi="Arial"/>
        </w:rPr>
      </w:r>
    </w:p>
    <w:p>
      <w:pPr>
        <w:pStyle w:val="Normal"/>
        <w:jc w:val="both"/>
        <w:rPr>
          <w:rFonts w:ascii="Arial" w:hAnsi="Arial"/>
        </w:rPr>
      </w:pPr>
      <w:r>
        <w:rPr>
          <w:rFonts w:cs="Arial" w:ascii="Arial" w:hAnsi="Arial"/>
        </w:rPr>
        <w:t>14.5.1. O não cumprimento dos requisitos de habilitação;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14.5.2. A apresentação de documentos com prazo de validade vencido;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14.5.3. A substituição dos documentos exigidos para habilitação por protocolos de requerimento de certidão;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14.6. Não serão aceitos documentos de habilitação com indicação de CNPJ/CPF diferentes, salvo aqueles legalmente permitidos.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14.7. Se o licitante for à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14.8. Serão aceitos registros de CNPJ de licitante matriz e filial com diferenças de números de documentos pertinentes ao CND e ao CRF/FGTS, quando for comprovada a centralização do recolhimento dessas contribuições.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14.9. Os documentos necessários à habilitação deverão estar com prazo vigente, à exceção daqueles que, por sua natureza, não contenham validade.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14.10. Após a entrega dos documentos para habilitação, não será permitida a substituição ou a apresentação de novos documentos, salvo em sede de diligência, para (Lei 14.133/21, art. 64):</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14.10.1. complementação de informações acerca dos documentos já apresentados pelos licitantes e desde que necessária para apurar fatos existentes à época da abertura do certame; 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14.10.2. atualização de documentos cuja validade tenha expirado após a data de recebimento das propostas;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14.11. Os documentos complementares à proposta e à habilitação, quando necessários à confirmação daqueles exigidos no edital e já apresentados, se houver, serão encaminhados pelo licitante melhor classificado após o encerramento do envio de lances no prazo definido pelo Agente de Contratações, de no mínimo 02 (duas) horas, sob pena de inabilitação, podendo ser prorrogado.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14.12. Somente haverá a necessidade de comprovação do preenchimento de requisitos mediante apresentação dos documentos originais não-digitais quando houver dúvida em relação à integridade do documento digital.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14.12.1. Nestes casos, a licitante deverá encaminhar a documentação original ou a cópia autenticada exigida, no prazo máximo de 24 (vinte e quatro) horas, contados da data da solicitação do Agente de Contratação, via sistema.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14.13. Todos os documentos emitidos em língua estrangeira deverão ser entregues acompanhados da tradução para língua portuguesa, efetuada por Tradutor Juramentado, ou de outro que venha a substituí-lo, ou consularizados pelos respectivos consulados ou embaixadas.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14.14. Havendo necessidade de analisar minuciosamente os documentos exigidos, o Agente de Contratações suspenderá a sessão, informando no “chat” a nova data e horário para a continuidade da mesma, mediante aviso prévio no sistema, com no mínimo,</w:t>
      </w:r>
      <w:r>
        <w:rPr>
          <w:rFonts w:cs="Arial" w:ascii="Arial" w:hAnsi="Arial"/>
          <w:color w:val="000000"/>
        </w:rPr>
        <w:t xml:space="preserve"> 24 (vinte e quatro) horas de antecedência, e a ocorrência</w:t>
      </w:r>
      <w:r>
        <w:rPr>
          <w:rFonts w:cs="Arial" w:ascii="Arial" w:hAnsi="Arial"/>
        </w:rPr>
        <w:t xml:space="preserve"> será registrada em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14.15. Será inabilitado o licitante que não comprovar sua habilitação, seja por não apresentar quaisquer dos documentos exigidos, ou apresentá-los em desacordo com o estabelecido neste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14.16. Os licitantes deverão encaminhar, nos termos deste Edital, a documentação relacionada nos itens a seguir, para fins de habilitação:</w:t>
      </w:r>
    </w:p>
    <w:p>
      <w:pPr>
        <w:pStyle w:val="Normal"/>
        <w:jc w:val="both"/>
        <w:rPr>
          <w:rFonts w:ascii="Arial" w:hAnsi="Arial" w:cs="Arial"/>
          <w:b/>
          <w:b/>
          <w:bCs/>
          <w:color w:val="000000"/>
        </w:rPr>
      </w:pPr>
      <w:r>
        <w:rPr>
          <w:rFonts w:cs="Arial" w:ascii="Arial" w:hAnsi="Arial"/>
          <w:b/>
          <w:bCs/>
          <w:color w:val="000000"/>
        </w:rPr>
      </w:r>
    </w:p>
    <w:p>
      <w:pPr>
        <w:pStyle w:val="Normal"/>
        <w:spacing w:before="113" w:after="0"/>
        <w:jc w:val="both"/>
        <w:rPr>
          <w:b/>
          <w:b/>
          <w:bCs/>
        </w:rPr>
      </w:pPr>
      <w:r>
        <w:rPr>
          <w:rFonts w:cs="Arial" w:ascii="Arial" w:hAnsi="Arial"/>
          <w:b/>
          <w:bCs/>
          <w:color w:val="000000"/>
        </w:rPr>
        <w:t>14.17. DA HABILITAÇÃO JURÍDICA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a) Empresário individual: inscrição no Registro Público de Empresas Mercantis, a cargo da Junta Comercial da respectiva sede;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b) Microempreendedor Individual - MEI: Certificado da Condição de Microempreendedor Individual - CCMEI, cuja aceitação ficará condicionada à verificação da autenticidade no sítio https://www.gov.br/empresas-e-negocios/pt-br/empreendedor;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c)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e) Sociedade simples: inscrição do ato constitutivo no Registro Civil de Pessoas Jurídicas do local de sua sede, acompanhada de documento comprobatório de seus administradores;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f)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g)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14.17.1. Os documentos apresentados deverão estar acompanhados de todas as alterações ou da consolidação respectiva.</w:t>
      </w:r>
    </w:p>
    <w:p>
      <w:pPr>
        <w:pStyle w:val="Normal"/>
        <w:jc w:val="both"/>
        <w:rPr>
          <w:rFonts w:ascii="Arial" w:hAnsi="Arial" w:cs="Arial"/>
          <w:color w:val="000000"/>
        </w:rPr>
      </w:pPr>
      <w:r>
        <w:rPr>
          <w:rFonts w:cs="Arial" w:ascii="Arial" w:hAnsi="Arial"/>
          <w:color w:val="000000"/>
        </w:rPr>
      </w:r>
    </w:p>
    <w:p>
      <w:pPr>
        <w:pStyle w:val="Normal"/>
        <w:jc w:val="both"/>
        <w:rPr/>
      </w:pPr>
      <w:r>
        <w:rPr>
          <w:rFonts w:cs="Arial" w:ascii="Arial" w:hAnsi="Arial"/>
          <w:color w:val="000000"/>
        </w:rPr>
        <w:t>14.17.2. Deverá estar prevista no estatuto ou contrato social da licitante a autorização para empreender atividades compatíveis com o objeto desta Licitação.</w:t>
      </w:r>
    </w:p>
    <w:p>
      <w:pPr>
        <w:pStyle w:val="Normal"/>
        <w:jc w:val="both"/>
        <w:rPr>
          <w:rFonts w:ascii="Arial" w:hAnsi="Arial" w:cs="Arial"/>
          <w:b/>
          <w:b/>
          <w:bCs/>
        </w:rPr>
      </w:pPr>
      <w:r>
        <w:rPr>
          <w:rFonts w:cs="Arial" w:ascii="Arial" w:hAnsi="Arial"/>
          <w:b/>
          <w:bCs/>
        </w:rPr>
      </w:r>
    </w:p>
    <w:p>
      <w:pPr>
        <w:pStyle w:val="Normal"/>
        <w:spacing w:before="113" w:after="0"/>
        <w:jc w:val="both"/>
        <w:rPr/>
      </w:pPr>
      <w:r>
        <w:rPr>
          <w:rFonts w:cs="Arial" w:ascii="Arial" w:hAnsi="Arial"/>
          <w:b/>
          <w:bCs/>
        </w:rPr>
        <w:t>14.19. QUALIFICAÇÃO TÉCNICA</w:t>
      </w:r>
    </w:p>
    <w:p>
      <w:pPr>
        <w:pStyle w:val="Normal"/>
        <w:tabs>
          <w:tab w:val="clear" w:pos="720"/>
          <w:tab w:val="left" w:pos="361" w:leader="none"/>
        </w:tabs>
        <w:jc w:val="both"/>
        <w:rPr>
          <w:rFonts w:ascii="Arial" w:hAnsi="Arial" w:cs="Arial"/>
          <w:b/>
          <w:b/>
          <w:bCs/>
          <w:color w:val="000009"/>
        </w:rPr>
      </w:pPr>
      <w:r>
        <w:rPr>
          <w:rFonts w:cs="Arial" w:ascii="Arial" w:hAnsi="Arial"/>
          <w:b/>
          <w:bCs/>
          <w:color w:val="000009"/>
        </w:rPr>
      </w:r>
    </w:p>
    <w:p>
      <w:pPr>
        <w:pStyle w:val="Normal"/>
        <w:tabs>
          <w:tab w:val="clear" w:pos="720"/>
          <w:tab w:val="left" w:pos="361" w:leader="none"/>
        </w:tabs>
        <w:jc w:val="both"/>
        <w:rPr/>
      </w:pPr>
      <w:r>
        <w:rPr>
          <w:rFonts w:cs="Arial" w:ascii="Arial" w:hAnsi="Arial"/>
          <w:b/>
          <w:bCs/>
          <w:color w:val="000009"/>
        </w:rPr>
        <w:t>14.19.1. Capacidade Técnico-Operacional</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a) Registro ou inscrição da licitante no Conselho Regional de Engenharia, Agronomia (CREA) e/ou Conselho de Arquitetura e Urbanismo (CAU) - Pessoa Jurídica, válida na data da abertura da Licitação.</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a.1) Na hipótese da vencedora da licitação ter seu registro no Conselho Profissional de outro Estado, deverá apresentar no ato da assinatura do Contrato, o visto do seu registro no Conselho Regional/ES;</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b) A licitante deverá proceder com a indicação do pessoal técnico, das instalações e do aparelhamento adequados e disponíveis para a realização do objeto da licitação, bem como da qualificação de cada membro da equipe técnica que se responsabilizará pelos trabalhos (art. 67, III, da Lei 14.133/2021).</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c) Comprovação de que o licitante executou/prestou, sem restrição, serviço/obra de características semelhantes aos indicados neste Edital, considerando-se as parcelas de maior relevância técnica e valor financeiro e quantitativos mínimos definidos adiante.</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 xml:space="preserve">d) A comprovação será feita por meio de apresentação de no mínimo 1 (um) Atestado de Capacidade Técnica em nome da licitante, emitido por pessoa jurídica de direito público ou privado, ou Certidão de Acervo Técnico (CAT) emitidos pelo conselho profissional competente que demonstrem capacidade operacional na execução de serviços similares de complexidade tecnológica e operacional equivalente ou superior ao objeto desta licitação. </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e) Os atestados devem ser firmados por profissionais, representantes do contratante, que possuam habilitação no correspondente conselho profissional.</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f) No caso de comprovação da capacidade técnico-operacional por meio de Certidão de Acervo Técnico, deverá estar expresso em referido documento que o profissional que a detém estava à época da execução da obra/serviço vinculado ao licitante.</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 xml:space="preserve">g) Poderão ser aceitos atestados parciais, referentes a obras/serviços em andamento, desde que o atestado indique expressamente a conclusão da parcela a ser comprovada, para fins de capacidade técnico-operacional.  </w:t>
      </w:r>
    </w:p>
    <w:p>
      <w:pPr>
        <w:pStyle w:val="Normal"/>
        <w:tabs>
          <w:tab w:val="clear" w:pos="720"/>
          <w:tab w:val="left" w:pos="361" w:leader="none"/>
        </w:tabs>
        <w:jc w:val="both"/>
        <w:rPr>
          <w:rFonts w:ascii="Arial" w:hAnsi="Arial"/>
        </w:rPr>
      </w:pPr>
      <w:r>
        <w:rPr>
          <w:rFonts w:ascii="Arial" w:hAnsi="Arial"/>
        </w:rPr>
      </w:r>
    </w:p>
    <w:p>
      <w:pPr>
        <w:pStyle w:val="Normal"/>
        <w:tabs>
          <w:tab w:val="clear" w:pos="720"/>
          <w:tab w:val="left" w:pos="361" w:leader="none"/>
        </w:tabs>
        <w:jc w:val="both"/>
        <w:rPr>
          <w:rFonts w:ascii="Arial" w:hAnsi="Arial"/>
        </w:rPr>
      </w:pPr>
      <w:r>
        <w:rPr>
          <w:rFonts w:cs="Arial" w:ascii="Arial" w:hAnsi="Arial"/>
          <w:color w:val="000000" w:themeColor="text1"/>
        </w:rPr>
        <w:t xml:space="preserve">h) Para cumprimento do item anterior o licitante deverá comprovar a execução dos </w:t>
      </w:r>
      <w:r>
        <w:rPr>
          <w:rFonts w:cs="Arial" w:ascii="Arial" w:hAnsi="Arial"/>
          <w:bCs/>
          <w:color w:val="000000" w:themeColor="text1"/>
        </w:rPr>
        <w:t>seguintes serviços:</w:t>
      </w:r>
    </w:p>
    <w:p>
      <w:pPr>
        <w:pStyle w:val="ListParagraph"/>
        <w:tabs>
          <w:tab w:val="clear" w:pos="720"/>
          <w:tab w:val="left" w:pos="562" w:leader="none"/>
        </w:tabs>
        <w:ind w:left="0" w:hanging="0"/>
        <w:rPr>
          <w:rFonts w:ascii="Arial" w:hAnsi="Arial"/>
          <w:color w:val="000000" w:themeColor="text1"/>
        </w:rPr>
      </w:pPr>
      <w:r>
        <w:rPr>
          <w:rFonts w:ascii="Arial" w:hAnsi="Arial"/>
          <w:color w:val="000000" w:themeColor="text1"/>
        </w:rPr>
      </w:r>
    </w:p>
    <w:p>
      <w:pPr>
        <w:pStyle w:val="ListParagraph"/>
        <w:pBdr>
          <w:top w:val="single" w:sz="4" w:space="1" w:color="000000"/>
          <w:left w:val="single" w:sz="4" w:space="4" w:color="000000"/>
          <w:bottom w:val="single" w:sz="4" w:space="1" w:color="000000"/>
          <w:right w:val="single" w:sz="4" w:space="4" w:color="000000"/>
        </w:pBdr>
        <w:tabs>
          <w:tab w:val="clear" w:pos="720"/>
          <w:tab w:val="left" w:pos="562" w:leader="none"/>
        </w:tabs>
        <w:ind w:left="113" w:hanging="0"/>
        <w:rPr>
          <w:rFonts w:ascii="Arial" w:hAnsi="Arial"/>
          <w:color w:val="000000" w:themeColor="text1"/>
        </w:rPr>
      </w:pPr>
      <w:r>
        <w:rPr>
          <w:rFonts w:ascii="Arial" w:hAnsi="Arial"/>
          <w:b/>
          <w:color w:val="000000" w:themeColor="text1"/>
          <w:sz w:val="20"/>
        </w:rPr>
        <w:t>Comprovação de execução de obras de infraestrutura, públicas ou privadas, incluindo a execução de Corpo de Bueiro em Concreto sem interrupção de tráfego tipo Túnel Bala ou similar, que apresentem características semelhantes e compatíveis com o objeto a ser licitado, com extensão total igual ou superior a 50% da metragem prevista para contratação (147,50 m).</w:t>
      </w:r>
    </w:p>
    <w:p>
      <w:pPr>
        <w:pStyle w:val="ListParagraph"/>
        <w:tabs>
          <w:tab w:val="clear" w:pos="720"/>
          <w:tab w:val="left" w:pos="562" w:leader="none"/>
        </w:tabs>
        <w:ind w:left="0" w:hanging="0"/>
        <w:rPr>
          <w:rFonts w:ascii="Arial" w:hAnsi="Arial" w:cs="Arial"/>
          <w:b/>
          <w:b/>
          <w:bCs/>
          <w:color w:val="000000" w:themeColor="text1"/>
        </w:rPr>
      </w:pPr>
      <w:r>
        <w:rPr>
          <w:rFonts w:cs="Arial" w:ascii="Arial" w:hAnsi="Arial"/>
          <w:b/>
          <w:bCs/>
          <w:color w:val="000000" w:themeColor="text1"/>
        </w:rPr>
      </w:r>
    </w:p>
    <w:p>
      <w:pPr>
        <w:pStyle w:val="ListParagraph"/>
        <w:tabs>
          <w:tab w:val="clear" w:pos="720"/>
          <w:tab w:val="left" w:pos="562" w:leader="none"/>
        </w:tabs>
        <w:ind w:left="0" w:hanging="0"/>
        <w:rPr/>
      </w:pPr>
      <w:r>
        <w:rPr>
          <w:rFonts w:cs="Arial" w:ascii="Arial" w:hAnsi="Arial"/>
          <w:color w:val="000000" w:themeColor="text1"/>
        </w:rPr>
        <w:t>I) A comprovação será feita por meio de apresentação de no mínimo de 01 (um) Atestado ou Certidão de Acervo Técnico, devidamente assinado e carimbado pelo órgão ou entidade pública ou privada declarante.</w:t>
      </w:r>
    </w:p>
    <w:p>
      <w:pPr>
        <w:pStyle w:val="ListParagraph"/>
        <w:tabs>
          <w:tab w:val="clear" w:pos="720"/>
          <w:tab w:val="left" w:pos="562" w:leader="none"/>
        </w:tabs>
        <w:ind w:left="0" w:hanging="0"/>
        <w:rPr>
          <w:b/>
          <w:b/>
          <w:bCs/>
        </w:rPr>
      </w:pPr>
      <w:r>
        <w:rPr>
          <w:rFonts w:cs="Arial" w:ascii="Arial" w:hAnsi="Arial"/>
          <w:b/>
          <w:bCs/>
          <w:color w:val="000000" w:themeColor="text1"/>
        </w:rPr>
        <w:t>14.19.2. Capacidade Técnico-Profissional</w:t>
      </w:r>
    </w:p>
    <w:p>
      <w:pPr>
        <w:pStyle w:val="ListParagraph"/>
        <w:tabs>
          <w:tab w:val="clear" w:pos="720"/>
          <w:tab w:val="left" w:pos="562" w:leader="none"/>
        </w:tabs>
        <w:ind w:left="0" w:hanging="0"/>
        <w:rPr>
          <w:rFonts w:ascii="Arial" w:hAnsi="Arial"/>
          <w:color w:val="000000" w:themeColor="text1"/>
        </w:rPr>
      </w:pPr>
      <w:r>
        <w:rPr>
          <w:rFonts w:ascii="Arial" w:hAnsi="Arial"/>
          <w:color w:val="000000" w:themeColor="text1"/>
        </w:rPr>
      </w:r>
    </w:p>
    <w:p>
      <w:pPr>
        <w:pStyle w:val="ListParagraph"/>
        <w:tabs>
          <w:tab w:val="clear" w:pos="720"/>
          <w:tab w:val="left" w:pos="562" w:leader="none"/>
        </w:tabs>
        <w:ind w:left="0" w:hanging="0"/>
        <w:rPr>
          <w:rFonts w:ascii="Arial" w:hAnsi="Arial"/>
          <w:color w:val="000000" w:themeColor="text1"/>
        </w:rPr>
      </w:pPr>
      <w:r>
        <w:rPr>
          <w:rFonts w:cs="Arial" w:ascii="Arial" w:hAnsi="Arial"/>
          <w:bCs/>
          <w:color w:val="000000" w:themeColor="text1"/>
        </w:rPr>
        <w:t>a) Comprovação de que o licitante possui em seu quadro permanente profissional devidamente reconhecido  pelo Conselho Regional de Engenharia, Agronomia (CREA) e/ou Conselho de Arquitetura e Urbanismo (CAU) e que seja detentor de no mínimo 1 (um) atestado de responsabilidade técnica ou Certidão de Acervo Técnico por execução de obra ou serviço de características semelhantes aos indicados no Anexo I deste Edital.</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rPr>
        <w:t xml:space="preserve">b) A exigência de atestados será restrita às parcelas de maior relevância ou valor </w:t>
      </w:r>
      <w:r>
        <w:rPr>
          <w:rFonts w:cs="Arial" w:ascii="Arial" w:hAnsi="Arial"/>
          <w:bCs/>
          <w:color w:val="000009"/>
        </w:rPr>
        <w:t xml:space="preserve">significativo do objeto da licitação, assim consideradas as que tenham valor individual igual ou superior a 4% (quatro por cento) do valor total estimado da contratação, conforme preconizado no art. 67, §1º da Lei 14.133/2021. </w:t>
      </w:r>
    </w:p>
    <w:p>
      <w:pPr>
        <w:pStyle w:val="Normal"/>
        <w:jc w:val="both"/>
        <w:rPr>
          <w:rFonts w:ascii="Arial" w:hAnsi="Arial" w:cs="Arial"/>
          <w:bCs/>
        </w:rPr>
      </w:pPr>
      <w:r>
        <w:rPr>
          <w:rFonts w:cs="Arial" w:ascii="Arial" w:hAnsi="Arial"/>
          <w:bCs/>
        </w:rPr>
      </w:r>
    </w:p>
    <w:p>
      <w:pPr>
        <w:pStyle w:val="Normal"/>
        <w:jc w:val="both"/>
        <w:rPr>
          <w:rFonts w:ascii="Arial" w:hAnsi="Arial" w:cs="Arial"/>
          <w:bCs/>
        </w:rPr>
      </w:pPr>
      <w:r>
        <w:rPr>
          <w:rFonts w:cs="Arial" w:ascii="Arial" w:hAnsi="Arial"/>
          <w:bCs/>
          <w:color w:val="000009"/>
        </w:rPr>
        <w:t xml:space="preserve">c) Para cumprimento deste item o profissional deverá comprovar a execução dos seguintes serviços: </w:t>
      </w:r>
    </w:p>
    <w:p>
      <w:pPr>
        <w:pStyle w:val="Normal"/>
        <w:jc w:val="both"/>
        <w:rPr>
          <w:rFonts w:ascii="Arial" w:hAnsi="Arial" w:cs="Arial"/>
          <w:bCs/>
        </w:rPr>
      </w:pPr>
      <w:r>
        <w:rPr>
          <w:rFonts w:cs="Arial" w:ascii="Arial" w:hAnsi="Arial"/>
          <w:bCs/>
        </w:rPr>
      </w:r>
    </w:p>
    <w:tbl>
      <w:tblPr>
        <w:tblStyle w:val="TableNormal"/>
        <w:tblW w:w="9351" w:type="dxa"/>
        <w:jc w:val="left"/>
        <w:tblInd w:w="39" w:type="dxa"/>
        <w:tblLayout w:type="fixed"/>
        <w:tblCellMar>
          <w:top w:w="0" w:type="dxa"/>
          <w:left w:w="5" w:type="dxa"/>
          <w:bottom w:w="0" w:type="dxa"/>
          <w:right w:w="5" w:type="dxa"/>
        </w:tblCellMar>
        <w:tblLook w:firstRow="1" w:noVBand="0" w:lastRow="1" w:firstColumn="1" w:lastColumn="1" w:noHBand="0" w:val="01e0"/>
      </w:tblPr>
      <w:tblGrid>
        <w:gridCol w:w="9351"/>
      </w:tblGrid>
      <w:tr>
        <w:trPr>
          <w:trHeight w:val="390" w:hRule="atLeast"/>
        </w:trPr>
        <w:tc>
          <w:tcPr>
            <w:tcW w:w="9351" w:type="dxa"/>
            <w:tcBorders>
              <w:top w:val="single" w:sz="4" w:space="0" w:color="000000"/>
              <w:left w:val="single" w:sz="4" w:space="0" w:color="000000"/>
              <w:bottom w:val="single" w:sz="4" w:space="0" w:color="000000"/>
              <w:right w:val="single" w:sz="4" w:space="0" w:color="000000"/>
            </w:tcBorders>
            <w:shd w:color="auto" w:fill="FFFFFF" w:themeFill="background1" w:val="clear"/>
          </w:tcPr>
          <w:p>
            <w:pPr>
              <w:pStyle w:val="TableParagraph"/>
              <w:widowControl w:val="false"/>
              <w:suppressAutoHyphens w:val="true"/>
              <w:spacing w:lineRule="exact" w:line="230" w:before="0" w:after="0"/>
              <w:ind w:right="128" w:hanging="0"/>
              <w:jc w:val="center"/>
              <w:rPr>
                <w:rFonts w:ascii="Arial" w:hAnsi="Arial"/>
                <w:b/>
                <w:b/>
                <w:sz w:val="20"/>
              </w:rPr>
            </w:pPr>
            <w:r>
              <w:rPr>
                <w:rFonts w:ascii="Arial" w:hAnsi="Arial"/>
                <w:b/>
                <w:sz w:val="20"/>
              </w:rPr>
            </w:r>
          </w:p>
          <w:p>
            <w:pPr>
              <w:pStyle w:val="TableParagraph"/>
              <w:widowControl w:val="false"/>
              <w:suppressAutoHyphens w:val="true"/>
              <w:spacing w:lineRule="exact" w:line="230" w:before="0" w:after="0"/>
              <w:ind w:right="128" w:hanging="0"/>
              <w:jc w:val="both"/>
              <w:rPr>
                <w:rFonts w:ascii="Arial" w:hAnsi="Arial"/>
                <w:b/>
                <w:b/>
                <w:bCs/>
                <w:sz w:val="20"/>
              </w:rPr>
            </w:pPr>
            <w:r>
              <w:rPr>
                <w:rFonts w:ascii="Arial" w:hAnsi="Arial"/>
                <w:b/>
                <w:bCs/>
                <w:kern w:val="0"/>
                <w:sz w:val="20"/>
                <w:szCs w:val="22"/>
                <w:lang w:eastAsia="en-US" w:bidi="ar-SA"/>
              </w:rPr>
              <w:t xml:space="preserve">Comprovação de execução de obras de infraestrutura, públicas ou privadas, incluindo a execução de Corpo de Bueiro em Concreto sem interrupção de tráfego tipo Túnel Bala ou similar, que apresentem características semelhantes e compatíveis com o objeto a ser licitado. </w:t>
            </w:r>
          </w:p>
          <w:p>
            <w:pPr>
              <w:pStyle w:val="TableParagraph"/>
              <w:widowControl w:val="false"/>
              <w:suppressAutoHyphens w:val="true"/>
              <w:spacing w:lineRule="exact" w:line="230" w:before="0" w:after="0"/>
              <w:ind w:right="128" w:hanging="0"/>
              <w:jc w:val="both"/>
              <w:rPr>
                <w:rFonts w:ascii="Arial" w:hAnsi="Arial"/>
                <w:b/>
                <w:b/>
                <w:bCs/>
                <w:sz w:val="20"/>
              </w:rPr>
            </w:pPr>
            <w:r>
              <w:rPr>
                <w:rFonts w:ascii="Arial" w:hAnsi="Arial"/>
                <w:b/>
                <w:bCs/>
                <w:sz w:val="20"/>
              </w:rPr>
            </w:r>
          </w:p>
        </w:tc>
      </w:tr>
    </w:tbl>
    <w:p>
      <w:pPr>
        <w:pStyle w:val="Normal"/>
        <w:spacing w:before="1" w:after="0"/>
        <w:ind w:left="142" w:hanging="0"/>
        <w:rPr>
          <w:sz w:val="20"/>
        </w:rPr>
      </w:pPr>
      <w:r>
        <w:rPr>
          <w:sz w:val="20"/>
        </w:rPr>
      </w:r>
    </w:p>
    <w:p>
      <w:pPr>
        <w:pStyle w:val="Normal"/>
        <w:jc w:val="both"/>
        <w:rPr>
          <w:rFonts w:ascii="Arial" w:hAnsi="Arial"/>
        </w:rPr>
      </w:pPr>
      <w:r>
        <w:rPr>
          <w:rFonts w:ascii="Arial" w:hAnsi="Arial"/>
        </w:rPr>
        <w:t>d) Os profissionais indicados pelo Licitante para fins de comprovação da capacidade técnico-profissional deverão pertencer ao quadro permanente do Licitante. Entende-se, para fins deste Edital, como pertencente ao quadro permanente: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 Sócio: Contrato Social devidamente registrado no órgão competente;</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II. Diretor: cópia do Contrato Social, em se tratando de firma individual ou limitada ou cópia da ata de eleição devidamente publicada na imprensa, em se tratando de sociedade anônima;</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III. Empregado: cópia atualizada da Carteira de Trabalho e Previdência Social – CTPS ou Contrato de Trabalho em vigor;</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IV. Responsável Técnico: cópia da Certidão expedida pelo Conselho de Classe competente da Sede ou Filial do Licitante onde consta o registro do profissional como Responsável Técnico, ou a apresentação de um dos seguintes documentos:</w:t>
      </w:r>
    </w:p>
    <w:p>
      <w:pPr>
        <w:pStyle w:val="Normal"/>
        <w:jc w:val="both"/>
        <w:rPr>
          <w:rFonts w:ascii="Arial" w:hAnsi="Arial"/>
        </w:rPr>
      </w:pPr>
      <w:r>
        <w:rPr>
          <w:rFonts w:ascii="Arial" w:hAnsi="Arial"/>
        </w:rPr>
        <w:t xml:space="preserve">a) Ficha de registro do empregado - RE, devidamente registrada no Ministério do Trabalho; ou </w:t>
      </w:r>
    </w:p>
    <w:p>
      <w:pPr>
        <w:pStyle w:val="Normal"/>
        <w:jc w:val="both"/>
        <w:rPr>
          <w:rFonts w:ascii="Arial" w:hAnsi="Arial"/>
        </w:rPr>
      </w:pPr>
      <w:r>
        <w:rPr>
          <w:rFonts w:ascii="Arial" w:hAnsi="Arial"/>
        </w:rPr>
        <w:t xml:space="preserve">b) Carteira de Trabalho e Previdência Social - CTPS, em nome do profissional; ou </w:t>
      </w:r>
    </w:p>
    <w:p>
      <w:pPr>
        <w:pStyle w:val="Normal"/>
        <w:jc w:val="both"/>
        <w:rPr>
          <w:rFonts w:ascii="Arial" w:hAnsi="Arial"/>
        </w:rPr>
      </w:pPr>
      <w:r>
        <w:rPr>
          <w:rFonts w:ascii="Arial" w:hAnsi="Arial"/>
        </w:rPr>
        <w:t xml:space="preserve">c) Contrato Social ou último aditivo se houver; ou </w:t>
      </w:r>
    </w:p>
    <w:p>
      <w:pPr>
        <w:pStyle w:val="Normal"/>
        <w:jc w:val="both"/>
        <w:rPr>
          <w:rFonts w:ascii="Arial" w:hAnsi="Arial"/>
        </w:rPr>
      </w:pPr>
      <w:r>
        <w:rPr>
          <w:rFonts w:ascii="Arial" w:hAnsi="Arial"/>
        </w:rPr>
        <w:t>d) Contrato de prestação de serviço futuro, sem vínculo empregatício.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V. Profissional contratado: Contrato de prestação de serviço ou Declaração de prestação de serviço futuro. O contrato de prestação de serviços que se refira à obrigação futura do profissional em responder tecnicamente pelo licitante deverá especificar sua vinculação à execução integral da obra/serviço objeto desta licitação.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14.19.2.1. O profissional indicado pelo licitante para fins de comprovação da capacidade técnica-profissional deverá acompanhar a execução dos serviços, admitindo-se sua substituição por profissionais de experiência equivalente ou superior, desde que aprovada pela Administração.</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14.19.2.1.1. Para essa substituição, a qualificação técnica do profissional substituto deverá atender as mesmas exigências deste Edital e Termo de Referência.</w:t>
      </w:r>
    </w:p>
    <w:p>
      <w:pPr>
        <w:pStyle w:val="Normal"/>
        <w:jc w:val="both"/>
        <w:rPr>
          <w:rFonts w:ascii="Arial" w:hAnsi="Arial"/>
        </w:rPr>
      </w:pPr>
      <w:r>
        <w:rPr>
          <w:rFonts w:ascii="Arial" w:hAnsi="Arial"/>
        </w:rPr>
        <w:t xml:space="preserve">14.19.2.1.1. Para essa substituição, a qualificação técnica do profissional substituto deverá atender as mesmas exigências deste Projeto Básico. </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t>14.19.2.2. No caso de duas ou mais licitantes indicarem um mesmo profissional como responsável técnico todas serão inabilitadas.</w:t>
      </w:r>
    </w:p>
    <w:p>
      <w:pPr>
        <w:pStyle w:val="Normal"/>
        <w:jc w:val="both"/>
        <w:rPr>
          <w:rFonts w:ascii="Arial" w:hAnsi="Arial"/>
        </w:rPr>
      </w:pPr>
      <w:r>
        <w:rPr>
          <w:rFonts w:ascii="Arial" w:hAnsi="Arial"/>
        </w:rPr>
      </w:r>
    </w:p>
    <w:p>
      <w:pPr>
        <w:pStyle w:val="Normal"/>
        <w:jc w:val="both"/>
        <w:rPr>
          <w:rFonts w:ascii="Arial" w:hAnsi="Arial" w:cs="Arial"/>
          <w:bCs/>
        </w:rPr>
      </w:pPr>
      <w:r>
        <w:rPr>
          <w:rFonts w:cs="Arial" w:ascii="Arial" w:hAnsi="Arial"/>
          <w:bCs/>
        </w:rPr>
        <w:t>14.19.2.2.1. O responsável técnico pela elaboração da planilha orçamentária de uma empresa, não poderá responsabilizar-se pela de outra empresa participante do certame, primando-se assim pelo sigilo das propostas.</w:t>
      </w:r>
    </w:p>
    <w:p>
      <w:pPr>
        <w:pStyle w:val="Normal"/>
        <w:jc w:val="both"/>
        <w:rPr>
          <w:b/>
          <w:b/>
          <w:bCs/>
        </w:rPr>
      </w:pPr>
      <w:r>
        <w:rPr>
          <w:b/>
          <w:bCs/>
        </w:rPr>
      </w:r>
    </w:p>
    <w:p>
      <w:pPr>
        <w:pStyle w:val="Normal"/>
        <w:jc w:val="both"/>
        <w:rPr>
          <w:b/>
          <w:b/>
          <w:bCs/>
        </w:rPr>
      </w:pPr>
      <w:r>
        <w:rPr>
          <w:rFonts w:ascii="Arial" w:hAnsi="Arial"/>
          <w:b/>
          <w:bCs/>
        </w:rPr>
        <w:t>14.18.3. Declarações para qualificação técnica:</w:t>
      </w:r>
    </w:p>
    <w:p>
      <w:pPr>
        <w:pStyle w:val="Normal"/>
        <w:jc w:val="both"/>
        <w:rPr>
          <w:rFonts w:ascii="Arial" w:hAnsi="Arial" w:cs="Arial"/>
          <w:bCs/>
        </w:rPr>
      </w:pPr>
      <w:r>
        <w:rPr>
          <w:rFonts w:cs="Arial" w:ascii="Arial" w:hAnsi="Arial"/>
          <w:bCs/>
        </w:rPr>
      </w:r>
    </w:p>
    <w:p>
      <w:pPr>
        <w:pStyle w:val="Normal"/>
        <w:jc w:val="both"/>
        <w:rPr/>
      </w:pPr>
      <w:r>
        <w:rPr>
          <w:rFonts w:ascii="Arial" w:hAnsi="Arial"/>
        </w:rPr>
        <w:t>a) Declaração de pleno conhecimento do local e condições em que a obra será executada, conforme modelo no ANEXO VII deste Edital.</w:t>
      </w:r>
    </w:p>
    <w:p>
      <w:pPr>
        <w:pStyle w:val="Normal"/>
        <w:jc w:val="both"/>
        <w:rPr>
          <w:rFonts w:ascii="Arial" w:hAnsi="Arial" w:cs="Arial"/>
          <w:bCs/>
        </w:rPr>
      </w:pPr>
      <w:r>
        <w:rPr>
          <w:rFonts w:cs="Arial" w:ascii="Arial" w:hAnsi="Arial"/>
          <w:bCs/>
        </w:rPr>
      </w:r>
    </w:p>
    <w:p>
      <w:pPr>
        <w:pStyle w:val="Normal"/>
        <w:jc w:val="both"/>
        <w:rPr/>
      </w:pPr>
      <w:r>
        <w:rPr>
          <w:rFonts w:cs="Arial" w:ascii="Arial" w:hAnsi="Arial"/>
        </w:rPr>
        <w:t>b) Declaração do(s) Responsável(eis) Técnico(s) aceitando a sua indicação pela licitante, conforme modelo no ANEXO VIII deste Edital.</w:t>
      </w:r>
    </w:p>
    <w:p>
      <w:pPr>
        <w:pStyle w:val="Normal"/>
        <w:jc w:val="both"/>
        <w:rPr>
          <w:rFonts w:ascii="Arial" w:hAnsi="Arial" w:cs="Arial"/>
          <w:color w:val="000000"/>
        </w:rPr>
      </w:pPr>
      <w:r>
        <w:rPr>
          <w:rFonts w:cs="Arial" w:ascii="Arial" w:hAnsi="Arial"/>
          <w:color w:val="000000"/>
        </w:rPr>
      </w:r>
    </w:p>
    <w:p>
      <w:pPr>
        <w:pStyle w:val="Normal"/>
        <w:spacing w:before="113" w:after="0"/>
        <w:jc w:val="both"/>
        <w:rPr>
          <w:b/>
          <w:b/>
          <w:bCs/>
        </w:rPr>
      </w:pPr>
      <w:r>
        <w:rPr>
          <w:rFonts w:cs="Arial" w:ascii="Arial" w:hAnsi="Arial"/>
          <w:b/>
          <w:bCs/>
          <w:color w:val="000000"/>
        </w:rPr>
        <w:t>14.19. REGULARIDADE FISCAL, SOCIAL E TRABALHISTA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a) Prova de inscrição no Cadastro Nacional de Pessoa Jurídica – CNPJ ou no Cadastro de Pessoas Físicas, conforme o caso;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b) Prova de regularidade fiscal perante a Fazenda Nacional, mediante apresentação de certidão negativa ou positiva com efeito de negativa, expedida conjuntamente pela Receita Federal do Brasil (RFB) e pela Procuradoria-Geral da Fazenda Nacional (PGFN), referente aos créditos tributários federais e à Dívida Ativa da União por elas administrados, inclusive aqueles relativos à Seguridade Social;</w:t>
      </w:r>
    </w:p>
    <w:p>
      <w:pPr>
        <w:pStyle w:val="Normal"/>
        <w:jc w:val="both"/>
        <w:rPr>
          <w:rFonts w:ascii="Arial" w:hAnsi="Arial" w:cs="Arial"/>
        </w:rPr>
      </w:pPr>
      <w:r>
        <w:rPr>
          <w:rFonts w:cs="Arial" w:ascii="Arial" w:hAnsi="Arial"/>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c) Prova de regularidade com a Fazenda Estadual da sede do licitante, mediante Certidão Negativa de Tributos Estaduais ou Certidão Positiva com efeito negativo, expedida pela Fazenda Estadual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d) Prova de inscrição no Cadastro de Contribuintes Estadual ou Municipal (com situação ativa), relativo ao domicílio ou sede do licitante, pertinente ao seu ramo de atividade e compatível com o objeto do certame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e) Prova de regularidade com a Fazenda Pública do Município sede do licitante, mediante Certidão Negativa de Tributos Municipais ou Certidão Positiva com efeito negativo, expedida pela Fazenda Municipal, da sede da licitante ou Certidão de Não Contribuinte;</w:t>
      </w:r>
    </w:p>
    <w:p>
      <w:pPr>
        <w:pStyle w:val="Nivel4"/>
        <w:spacing w:lineRule="auto" w:line="240" w:before="0" w:after="0"/>
        <w:ind w:left="27"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27" w:hanging="27"/>
        <w:rPr>
          <w:rFonts w:ascii="Arial" w:hAnsi="Arial"/>
          <w:sz w:val="22"/>
          <w:szCs w:val="22"/>
        </w:rPr>
      </w:pPr>
      <w:r>
        <w:rPr>
          <w:rFonts w:eastAsia="Arial MT" w:ascii="Arial" w:hAnsi="Arial"/>
          <w:sz w:val="22"/>
          <w:szCs w:val="22"/>
          <w:lang w:val="pt-PT" w:eastAsia="en-US"/>
        </w:rPr>
        <w:t>f) Prova de regularidade com o Fundo de Garantia do Tempo de Serviço (FGTS);</w:t>
      </w:r>
    </w:p>
    <w:p>
      <w:pPr>
        <w:pStyle w:val="Normal"/>
        <w:jc w:val="both"/>
        <w:rPr>
          <w:rFonts w:ascii="Arial" w:hAnsi="Arial" w:cs="Arial"/>
        </w:rPr>
      </w:pPr>
      <w:r>
        <w:rPr>
          <w:rFonts w:cs="Arial" w:ascii="Arial" w:hAnsi="Arial"/>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g) Prova de inexistência de débitos inadimplidos perante a Justiça do Trabalho, mediante a apresentação de certidão negativa ou positiva com efeito de negativa, nos termos do Título VII-A da Consolidação das Leis do Trabalho;</w:t>
      </w:r>
    </w:p>
    <w:p>
      <w:pPr>
        <w:pStyle w:val="Nivel4"/>
        <w:spacing w:lineRule="auto" w:line="240" w:before="0" w:after="0"/>
        <w:ind w:left="0" w:hanging="0"/>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h) Declaração de que não emprega menor de 18 anos em trabalho noturno, perigoso ou insalubre e não emprega menor de 16 anos, salvo menor, a partir de 14 anos, na condição de aprendiz, nos termos do artigo 7°, XXXIII, da Constituição, conforme modelo no ANEXO IX deste Edital;</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27"/>
        <w:rPr>
          <w:rFonts w:ascii="Arial" w:hAnsi="Arial"/>
          <w:sz w:val="22"/>
          <w:szCs w:val="22"/>
        </w:rPr>
      </w:pPr>
      <w:r>
        <w:rPr>
          <w:rFonts w:eastAsia="Arial MT" w:ascii="Arial" w:hAnsi="Arial"/>
          <w:sz w:val="22"/>
          <w:szCs w:val="22"/>
          <w:lang w:val="pt-PT" w:eastAsia="en-US"/>
        </w:rPr>
        <w:t>14.19.1. Caso o objeto contratual venha a ser cumprido por filial da licitante, os documentos exigidos neste item também deverão ser apresentados pela filial executora do contrato, sem prejuízo para a exigência de apresentação dos documentos relativos à sua matriz.</w:t>
      </w:r>
    </w:p>
    <w:p>
      <w:pPr>
        <w:pStyle w:val="Nivel4"/>
        <w:spacing w:lineRule="auto" w:line="240" w:before="0" w:after="0"/>
        <w:ind w:left="0" w:hanging="27"/>
        <w:rPr>
          <w:rFonts w:ascii="Arial" w:hAnsi="Arial" w:eastAsia="Arial MT"/>
          <w:sz w:val="22"/>
          <w:szCs w:val="22"/>
          <w:lang w:val="pt-PT" w:eastAsia="en-US"/>
        </w:rPr>
      </w:pPr>
      <w:r>
        <w:rPr>
          <w:rFonts w:eastAsia="Arial MT" w:ascii="Arial" w:hAnsi="Arial"/>
          <w:sz w:val="22"/>
          <w:szCs w:val="22"/>
          <w:lang w:val="pt-PT" w:eastAsia="en-US"/>
        </w:rPr>
      </w:r>
    </w:p>
    <w:p>
      <w:pPr>
        <w:pStyle w:val="Nivel4"/>
        <w:spacing w:lineRule="auto" w:line="240" w:before="0" w:after="0"/>
        <w:ind w:left="0" w:hanging="0"/>
        <w:rPr>
          <w:rFonts w:ascii="Arial" w:hAnsi="Arial"/>
          <w:sz w:val="22"/>
          <w:szCs w:val="22"/>
        </w:rPr>
      </w:pPr>
      <w:r>
        <w:rPr>
          <w:rFonts w:eastAsia="Arial MT" w:ascii="Arial" w:hAnsi="Arial"/>
          <w:sz w:val="22"/>
          <w:szCs w:val="22"/>
          <w:lang w:val="pt-PT" w:eastAsia="en-US"/>
        </w:rPr>
        <w:t>14.19.2. Caso o fornecedor seja considerado isento dos tributos Estadual ou Municipal relacionados ao objeto contratual, deverá comprovar tal condição mediante a apresentação de declaração da Fazenda respectiva do seu domicílio ou sede, ou outra equivalente, na forma da lei.</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b/>
          <w:bCs/>
          <w:color w:val="000000"/>
        </w:rPr>
        <w:t xml:space="preserve">14.20. QUALIFICAÇÃO ECONÔMICO-FINANCEIRA  </w:t>
      </w:r>
    </w:p>
    <w:p>
      <w:pPr>
        <w:pStyle w:val="ListParagraph"/>
        <w:spacing w:before="0" w:after="0"/>
        <w:ind w:left="495" w:hanging="0"/>
        <w:contextualSpacing/>
        <w:rPr>
          <w:rFonts w:ascii="Arial" w:hAnsi="Arial" w:cs="Arial"/>
        </w:rPr>
      </w:pPr>
      <w:r>
        <w:rPr>
          <w:rFonts w:cs="Arial" w:ascii="Arial" w:hAnsi="Arial"/>
        </w:rPr>
      </w:r>
    </w:p>
    <w:p>
      <w:pPr>
        <w:pStyle w:val="Normal"/>
        <w:jc w:val="both"/>
        <w:rPr>
          <w:rFonts w:ascii="Arial" w:hAnsi="Arial"/>
        </w:rPr>
      </w:pPr>
      <w:r>
        <w:rPr>
          <w:rFonts w:cs="Arial" w:ascii="Arial" w:hAnsi="Arial"/>
          <w:color w:val="000000"/>
        </w:rPr>
        <w:t>a) Certidão negativa de insolvência civil expedida pelo distribuidor do domicílio ou sede do licitante, caso se trate de sociedade simples ou de pessoa física, desde que admitida a sua participação na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b) Certidão negativa de falência expedida pelo distribuidor da sede do fornecedor, para as demais pessoas jurídicas;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color w:val="000000"/>
        </w:rPr>
        <w:t>c) Caso a licitante se encontre em processo de recuperação judicial ou extrajudicial, deverá apresentar certidão emitida pela instância judicial competente certificando que a interessada está apta econômica e financeiramente a participar da licitação, além de cumprir todos os demais requisitos de habilitação exigidos por este Edital.</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 Balanço patrimonial, demonstração de resultado de exercício e demais demonstrações contábeis dos 2 (dois) últimos exercícios sociais, comprovando: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d.1) índices de Liquidez Geral (LG), Liquidez Corrente (LC), e Solvência Geral (SG) superiores a 1 (um):</w:t>
      </w:r>
    </w:p>
    <w:p>
      <w:pPr>
        <w:pStyle w:val="Normal"/>
        <w:jc w:val="both"/>
        <w:rPr>
          <w:rFonts w:ascii="Arial" w:hAnsi="Arial"/>
        </w:rPr>
      </w:pPr>
      <w:r>
        <w:rPr>
          <w:rFonts w:ascii="Arial" w:hAnsi="Arial"/>
        </w:rPr>
      </w:r>
    </w:p>
    <w:p>
      <w:pPr>
        <w:pStyle w:val="Normal"/>
        <w:jc w:val="both"/>
        <w:rPr>
          <w:rFonts w:ascii="Arial" w:hAnsi="Arial"/>
        </w:rPr>
      </w:pPr>
      <w:r>
        <w:rPr>
          <w:rFonts w:ascii="Arial" w:hAnsi="Arial"/>
        </w:rPr>
      </w:r>
    </w:p>
    <w:p>
      <w:pPr>
        <w:pStyle w:val="Normal"/>
        <w:rPr>
          <w:rFonts w:ascii="Arial" w:hAnsi="Arial"/>
        </w:rPr>
      </w:pPr>
      <w:r>
        <w:rPr>
          <w:rFonts w:cs="Arial" w:ascii="Arial" w:hAnsi="Arial"/>
        </w:rPr>
        <w:t xml:space="preserve">              </w:t>
      </w:r>
      <w:r>
        <w:rPr>
          <w:rFonts w:cs="Arial" w:ascii="Arial" w:hAnsi="Arial"/>
        </w:rPr>
        <w:t>Ativo Circulante(AC) + Realizável a Longo Prazo(RLP)</w:t>
      </w:r>
    </w:p>
    <w:p>
      <w:pPr>
        <w:pStyle w:val="Normal"/>
        <w:rPr>
          <w:rFonts w:ascii="Arial" w:hAnsi="Arial"/>
        </w:rPr>
      </w:pPr>
      <w:r>
        <w:rPr>
          <w:rFonts w:cs="Arial" w:ascii="Arial" w:hAnsi="Arial"/>
        </w:rPr>
        <w:t>ILG = _______________________________________________</w:t>
      </w:r>
    </w:p>
    <w:p>
      <w:pPr>
        <w:pStyle w:val="Normal"/>
        <w:rPr>
          <w:rFonts w:ascii="Arial" w:hAnsi="Arial"/>
        </w:rPr>
      </w:pPr>
      <w:r>
        <w:rPr>
          <w:rFonts w:cs="Arial" w:ascii="Arial" w:hAnsi="Arial"/>
        </w:rPr>
        <w:t xml:space="preserve">             </w:t>
      </w:r>
    </w:p>
    <w:p>
      <w:pPr>
        <w:pStyle w:val="Normal"/>
        <w:rPr>
          <w:rFonts w:ascii="Arial" w:hAnsi="Arial"/>
        </w:rPr>
      </w:pPr>
      <w:r>
        <w:rPr>
          <w:rFonts w:cs="Arial" w:ascii="Arial" w:hAnsi="Arial"/>
        </w:rPr>
        <w:t xml:space="preserve">             </w:t>
      </w:r>
      <w:r>
        <w:rPr>
          <w:rFonts w:cs="Arial" w:ascii="Arial" w:hAnsi="Arial"/>
        </w:rPr>
        <w:t>Passivo Circulante(PC) + Passivo não Circulante(PNC)</w:t>
      </w:r>
    </w:p>
    <w:p>
      <w:pPr>
        <w:pStyle w:val="Normal"/>
        <w:rPr>
          <w:rFonts w:ascii="Arial" w:hAnsi="Arial" w:cs="Arial"/>
        </w:rPr>
      </w:pPr>
      <w:r>
        <w:rPr>
          <w:rFonts w:cs="Arial" w:ascii="Arial" w:hAnsi="Arial"/>
        </w:rPr>
      </w:r>
    </w:p>
    <w:p>
      <w:pPr>
        <w:pStyle w:val="Normal"/>
        <w:spacing w:before="113" w:after="0"/>
        <w:rPr>
          <w:rFonts w:ascii="Arial" w:hAnsi="Arial"/>
        </w:rPr>
      </w:pPr>
      <w:r>
        <w:rPr>
          <w:rFonts w:cs="Arial" w:ascii="Arial" w:hAnsi="Arial"/>
        </w:rPr>
        <w:t xml:space="preserve">                                          </w:t>
      </w:r>
      <w:r>
        <w:rPr>
          <w:rFonts w:cs="Arial" w:ascii="Arial" w:hAnsi="Arial"/>
        </w:rPr>
        <w:t>Ativo Total (AT)</w:t>
      </w:r>
    </w:p>
    <w:p>
      <w:pPr>
        <w:pStyle w:val="Normal"/>
        <w:rPr>
          <w:rFonts w:ascii="Arial" w:hAnsi="Arial"/>
        </w:rPr>
      </w:pPr>
      <w:r>
        <w:rPr>
          <w:rFonts w:cs="Arial" w:ascii="Arial" w:hAnsi="Arial"/>
        </w:rPr>
        <w:t>ISG = ________________________________________________</w:t>
      </w:r>
    </w:p>
    <w:p>
      <w:pPr>
        <w:pStyle w:val="Normal"/>
        <w:rPr>
          <w:rFonts w:ascii="Arial" w:hAnsi="Arial"/>
        </w:rPr>
      </w:pPr>
      <w:r>
        <w:rPr>
          <w:rFonts w:cs="Arial" w:ascii="Arial" w:hAnsi="Arial"/>
        </w:rPr>
        <w:t xml:space="preserve">            </w:t>
      </w:r>
    </w:p>
    <w:p>
      <w:pPr>
        <w:pStyle w:val="Normal"/>
        <w:rPr>
          <w:rFonts w:ascii="Arial" w:hAnsi="Arial"/>
        </w:rPr>
      </w:pPr>
      <w:r>
        <w:rPr>
          <w:rFonts w:cs="Arial" w:ascii="Arial" w:hAnsi="Arial"/>
        </w:rPr>
        <w:t xml:space="preserve">               </w:t>
      </w:r>
      <w:r>
        <w:rPr>
          <w:rFonts w:cs="Arial" w:ascii="Arial" w:hAnsi="Arial"/>
        </w:rPr>
        <w:t>Passivo Circulante(PC) + Passivo não Circulante (PNC)</w:t>
      </w:r>
    </w:p>
    <w:p>
      <w:pPr>
        <w:pStyle w:val="Normal"/>
        <w:spacing w:before="113" w:after="0"/>
        <w:rPr>
          <w:rFonts w:ascii="Arial" w:hAnsi="Arial"/>
        </w:rPr>
      </w:pPr>
      <w:r>
        <w:rPr>
          <w:rFonts w:cs="Arial" w:ascii="Arial" w:hAnsi="Arial"/>
        </w:rPr>
        <w:t xml:space="preserve">                </w:t>
      </w:r>
    </w:p>
    <w:p>
      <w:pPr>
        <w:pStyle w:val="Normal"/>
        <w:spacing w:before="113" w:after="0"/>
        <w:rPr>
          <w:rFonts w:ascii="Arial" w:hAnsi="Arial"/>
        </w:rPr>
      </w:pPr>
      <w:r>
        <w:rPr>
          <w:rFonts w:cs="Arial" w:ascii="Arial" w:hAnsi="Arial"/>
        </w:rPr>
        <w:t xml:space="preserve">                 </w:t>
      </w:r>
      <w:r>
        <w:rPr>
          <w:rFonts w:cs="Arial" w:ascii="Arial" w:hAnsi="Arial"/>
        </w:rPr>
        <w:t>Ativo Circulante(AC)</w:t>
      </w:r>
    </w:p>
    <w:p>
      <w:pPr>
        <w:pStyle w:val="Normal"/>
        <w:rPr>
          <w:rFonts w:ascii="Arial" w:hAnsi="Arial"/>
        </w:rPr>
      </w:pPr>
      <w:r>
        <w:rPr>
          <w:rFonts w:cs="Arial" w:ascii="Arial" w:hAnsi="Arial"/>
        </w:rPr>
        <w:t>ILC = _____________________________</w:t>
      </w:r>
    </w:p>
    <w:p>
      <w:pPr>
        <w:pStyle w:val="ListParagraph"/>
        <w:spacing w:before="0" w:after="0"/>
        <w:ind w:left="0" w:hanging="0"/>
        <w:contextualSpacing/>
        <w:rPr>
          <w:rFonts w:ascii="Arial" w:hAnsi="Arial"/>
        </w:rPr>
      </w:pPr>
      <w:r>
        <w:rPr>
          <w:rFonts w:cs="Arial" w:ascii="Arial" w:hAnsi="Arial"/>
        </w:rPr>
        <w:t xml:space="preserve">                </w:t>
      </w:r>
    </w:p>
    <w:p>
      <w:pPr>
        <w:pStyle w:val="ListParagraph"/>
        <w:spacing w:before="0" w:after="0"/>
        <w:ind w:left="0" w:hanging="0"/>
        <w:contextualSpacing/>
        <w:rPr>
          <w:rFonts w:ascii="Arial" w:hAnsi="Arial"/>
        </w:rPr>
      </w:pPr>
      <w:r>
        <w:rPr>
          <w:rFonts w:cs="Arial" w:ascii="Arial" w:hAnsi="Arial"/>
        </w:rPr>
        <w:t xml:space="preserve">                 </w:t>
      </w:r>
      <w:r>
        <w:rPr>
          <w:rFonts w:cs="Arial" w:ascii="Arial" w:hAnsi="Arial"/>
        </w:rPr>
        <w:t>Passivo Circulante(PC)</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d.2. Capital Circulante Líquido (CCL) ou Capital de Giro (CG = Ativo Circulante - Passivo Circulante) de, no mínimo, 1,09% do valor estimado da contratação;</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d.3. Patrimônio Líquido de 10% (dez por cento) do valor estimado da contratação.</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e. Os documentos referidos acima (BP e DRE) serão os já exigíveis na forma da lei, com base no limite definido pela Receita Federal do Brasil para transmissão da Escrituração Contábil Digital (ECD) ao SPED ou, se a empresa não estiver obrigada ao SPED, observando a data de exigibilidade do art. 1.078, I, do Código Civil.</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f. Consideram-se “já exigíveis” as Demonstrações Contábeis e o Balanço Patrimonial referentes ao exercício social imediatamente antecedente ao ano da licitação, quando a data de apresentação dos documentos de habilitação ocorrer a partir de 01 de maio (art. 1.078, I, do Código Civil), mesmo no caso de licitantes obrigados ao SPED, devendo ser desconsiderado prazo superior para transmissão das peças contábeis digitais estabelecido por atos normativos que disciplinam o citado SPED (conforme entendimento do TCU, Acórdãos 1999/2014 e 119/2016, ambos do Plenário).</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g. As empresas criadas no exercício financeiro da licitação deverão atender a todas as exigências da habilitação e poderão substituir os demonstrativos contábeis pelo balanço de abertura.</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h. Os documentos referidos acima limitar-se-ão ao último exercício no caso de a pessoa jurídica ter sido constituída há menos de 2 (dois) anos;</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i. O Demonstrativo com as memórias de cálculo de cada índice devem ser anexadas pelo licitante à documentação relativa à qualificação econômico-financeira.</w:t>
      </w:r>
    </w:p>
    <w:p>
      <w:pPr>
        <w:pStyle w:val="Normal"/>
        <w:jc w:val="both"/>
        <w:rPr>
          <w:rFonts w:ascii="Arial" w:hAnsi="Arial" w:cs="Arial"/>
          <w:color w:val="000000"/>
        </w:rPr>
      </w:pPr>
      <w:r>
        <w:rPr>
          <w:rFonts w:cs="Arial" w:ascii="Arial" w:hAnsi="Arial"/>
          <w:color w:val="000000"/>
        </w:rPr>
      </w:r>
    </w:p>
    <w:p>
      <w:pPr>
        <w:pStyle w:val="Normal"/>
        <w:jc w:val="both"/>
        <w:rPr>
          <w:rFonts w:ascii="Arial" w:hAnsi="Arial" w:cs="Arial"/>
          <w:color w:val="000000"/>
        </w:rPr>
      </w:pPr>
      <w:r>
        <w:rPr>
          <w:rFonts w:cs="Arial" w:ascii="Arial" w:hAnsi="Arial"/>
          <w:color w:val="000000"/>
        </w:rPr>
        <w:t>j. Os valores constantes do Balanço poderão ser atualizados pelos licitantes, para a data-base do orçamento, estimado pelo Índice Geral de Preços (IGP-DI) da Fundação Getúlio Vargas, para fins de cálculo do Patrimônio Líquido mínimo.</w:t>
      </w:r>
    </w:p>
    <w:p>
      <w:pPr>
        <w:pStyle w:val="Normal"/>
        <w:jc w:val="both"/>
        <w:rPr>
          <w:rFonts w:ascii="Arial" w:hAnsi="Arial" w:cs="Arial"/>
          <w:color w:val="000000"/>
        </w:rPr>
      </w:pPr>
      <w:r>
        <w:rPr>
          <w:rFonts w:cs="Arial" w:ascii="Arial" w:hAnsi="Arial"/>
          <w:color w:val="000000"/>
        </w:rPr>
      </w:r>
    </w:p>
    <w:p>
      <w:pPr>
        <w:pStyle w:val="ListParagraph"/>
        <w:spacing w:before="113" w:after="0"/>
        <w:ind w:left="0" w:hanging="0"/>
        <w:rPr>
          <w:b/>
          <w:b/>
          <w:bCs/>
        </w:rPr>
      </w:pPr>
      <w:r>
        <w:rPr>
          <w:rFonts w:cs="Arial" w:ascii="Arial" w:hAnsi="Arial"/>
          <w:b/>
          <w:bCs/>
          <w:iCs/>
        </w:rPr>
        <w:t>14.21. DECLARAÇÃO PARA OUTRAS COMPROVAÇÕES, em conformidade com o modelo constante do ANEXO X:</w:t>
      </w:r>
    </w:p>
    <w:p>
      <w:pPr>
        <w:pStyle w:val="ListParagraph"/>
        <w:ind w:left="0" w:hanging="0"/>
        <w:rPr>
          <w:rFonts w:ascii="Arial" w:hAnsi="Arial" w:cs="Arial"/>
          <w:b/>
          <w:b/>
          <w:bCs/>
          <w:iCs/>
        </w:rPr>
      </w:pPr>
      <w:r>
        <w:rPr>
          <w:rFonts w:cs="Arial" w:ascii="Arial" w:hAnsi="Arial"/>
          <w:b/>
          <w:bCs/>
          <w:iCs/>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a) Declaração expressa, do Licitante, que tem pleno conhecimento do objeto da presente Licitação e que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b) Declaração dando ciência de que o licitante cumpre plenamente os requisitos de habilitação.</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c) Declaração de que não possui, em sua cadeia produtiva, empregados executando trabalho degradante ou forçado, observando o disposto nos incisos III e IV do art. 1º e no inciso III do art. 5º da Constituição Federal.</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d) Declaração de que a proposta foi elaborada de forma independente.</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e) Declaração de que cumpre as exigências de reserva de cargos.</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f) Declaração de inexistência de parentesco com a municipalidade.</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rFonts w:ascii="Arial" w:hAnsi="Arial"/>
        </w:rPr>
      </w:pPr>
      <w:r>
        <w:rPr>
          <w:rFonts w:eastAsia="Arial" w:cs="Arial" w:ascii="Arial" w:hAnsi="Arial"/>
          <w:color w:val="000000" w:themeColor="text1"/>
          <w:kern w:val="2"/>
          <w:lang w:eastAsia="pt-BR"/>
        </w:rPr>
        <w:t>g) Declaração de inexistência de fato impeditivo.</w:t>
      </w:r>
    </w:p>
    <w:p>
      <w:pPr>
        <w:pStyle w:val="Normal"/>
        <w:tabs>
          <w:tab w:val="clear" w:pos="720"/>
          <w:tab w:val="left" w:pos="680" w:leader="none"/>
        </w:tabs>
        <w:jc w:val="both"/>
        <w:rPr>
          <w:rFonts w:ascii="Arial" w:hAnsi="Arial"/>
        </w:rPr>
      </w:pPr>
      <w:r>
        <w:rPr>
          <w:rFonts w:ascii="Arial" w:hAnsi="Arial"/>
        </w:rPr>
      </w:r>
    </w:p>
    <w:p>
      <w:pPr>
        <w:pStyle w:val="Normal"/>
        <w:tabs>
          <w:tab w:val="clear" w:pos="720"/>
          <w:tab w:val="left" w:pos="680" w:leader="none"/>
        </w:tabs>
        <w:jc w:val="both"/>
        <w:rPr/>
      </w:pPr>
      <w:r>
        <w:rPr>
          <w:rFonts w:eastAsia="Arial" w:cs="Arial" w:ascii="Arial" w:hAnsi="Arial"/>
          <w:color w:val="000000" w:themeColor="text1"/>
          <w:kern w:val="2"/>
          <w:lang w:eastAsia="pt-BR"/>
        </w:rPr>
        <w:t>h) Declaração que sua Proposta Econômica Compreende a Integralidade dos Custos.</w:t>
      </w:r>
    </w:p>
    <w:p>
      <w:pPr>
        <w:pStyle w:val="Normal"/>
        <w:tabs>
          <w:tab w:val="clear" w:pos="720"/>
          <w:tab w:val="left" w:pos="680" w:leader="none"/>
        </w:tabs>
        <w:rPr/>
      </w:pPr>
      <w:r>
        <w:rPr/>
      </w:r>
    </w:p>
    <w:p>
      <w:pPr>
        <w:pStyle w:val="Normal"/>
        <w:tabs>
          <w:tab w:val="clear" w:pos="720"/>
          <w:tab w:val="left" w:pos="680" w:leader="none"/>
        </w:tabs>
        <w:spacing w:before="113" w:after="0"/>
        <w:rPr/>
      </w:pPr>
      <w:r>
        <w:rPr>
          <w:rFonts w:eastAsia="Arial" w:cs="Arial" w:ascii="Arial" w:hAnsi="Arial"/>
          <w:b/>
          <w:bCs/>
        </w:rPr>
        <w:t>14.22.  DAS DISPOSIÇÕES GERAIS DE HABILITAÇÃO</w:t>
      </w:r>
    </w:p>
    <w:p>
      <w:pPr>
        <w:pStyle w:val="Normal"/>
        <w:tabs>
          <w:tab w:val="clear" w:pos="720"/>
          <w:tab w:val="left" w:pos="680" w:leader="none"/>
        </w:tabs>
        <w:rPr>
          <w:rFonts w:ascii="Arial" w:hAnsi="Arial" w:eastAsia="Arial" w:cs="Arial"/>
        </w:rPr>
      </w:pPr>
      <w:r>
        <w:rPr>
          <w:rFonts w:eastAsia="Arial" w:cs="Arial" w:ascii="Arial" w:hAnsi="Arial"/>
        </w:rPr>
      </w:r>
    </w:p>
    <w:p>
      <w:pPr>
        <w:pStyle w:val="Normal"/>
        <w:tabs>
          <w:tab w:val="clear" w:pos="720"/>
          <w:tab w:val="left" w:pos="680" w:leader="none"/>
        </w:tabs>
        <w:jc w:val="both"/>
        <w:rPr/>
      </w:pPr>
      <w:r>
        <w:rPr>
          <w:rFonts w:eastAsia="Arial" w:cs="Arial" w:ascii="Arial" w:hAnsi="Arial"/>
        </w:rPr>
        <w:t>14.22.1. Para fins de habilitação, a verificação pelo órgão promotor do certame nos sítios oficiais de órgãos e entidades emissoras de certidões constitui meio legal de prova.</w:t>
      </w:r>
    </w:p>
    <w:p>
      <w:pPr>
        <w:pStyle w:val="Normal"/>
        <w:tabs>
          <w:tab w:val="clear" w:pos="720"/>
          <w:tab w:val="left" w:pos="687" w:leader="none"/>
        </w:tabs>
        <w:jc w:val="both"/>
        <w:rPr>
          <w:rFonts w:ascii="Arial" w:hAnsi="Arial" w:eastAsia="Arial" w:cs="Arial"/>
          <w:shd w:fill="81D41A" w:val="clear"/>
        </w:rPr>
      </w:pPr>
      <w:r>
        <w:rPr>
          <w:rFonts w:eastAsia="Arial" w:cs="Arial" w:ascii="Arial" w:hAnsi="Arial"/>
          <w:shd w:fill="81D41A" w:val="clear"/>
        </w:rPr>
      </w:r>
    </w:p>
    <w:p>
      <w:pPr>
        <w:pStyle w:val="Normal"/>
        <w:jc w:val="both"/>
        <w:rPr/>
      </w:pPr>
      <w:r>
        <w:rPr>
          <w:rFonts w:eastAsia="Arial" w:cs="Arial" w:ascii="Arial" w:hAnsi="Arial"/>
        </w:rPr>
        <w:t xml:space="preserve">14.22.2. </w:t>
      </w:r>
      <w:r>
        <w:rPr>
          <w:rFonts w:cs="Arial" w:ascii="Arial" w:hAnsi="Arial"/>
          <w:bCs/>
          <w:iCs/>
        </w:rPr>
        <w:t>As declarações constantes do subitem 14.21 (DECLARAÇÃO PARA OUTRAS COMPROVAÇÕES) deverão ser impressas em papel timbrado e/ ou com carimbo da empresa licitante.</w:t>
      </w:r>
    </w:p>
    <w:p>
      <w:pPr>
        <w:pStyle w:val="Normal"/>
        <w:jc w:val="both"/>
        <w:rPr>
          <w:rFonts w:ascii="Arial" w:hAnsi="Arial" w:cs="Arial"/>
          <w:bCs/>
          <w:iCs/>
        </w:rPr>
      </w:pPr>
      <w:r>
        <w:rPr>
          <w:rFonts w:cs="Arial" w:ascii="Arial" w:hAnsi="Arial"/>
          <w:bCs/>
          <w:iCs/>
        </w:rPr>
      </w:r>
    </w:p>
    <w:p>
      <w:pPr>
        <w:pStyle w:val="Normal"/>
        <w:jc w:val="both"/>
        <w:rPr>
          <w:rFonts w:ascii="Arial" w:hAnsi="Arial"/>
        </w:rPr>
      </w:pPr>
      <w:r>
        <w:rPr>
          <w:rFonts w:cs="Arial" w:ascii="Arial" w:hAnsi="Arial"/>
        </w:rPr>
        <w:t>14.22.4. 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14.22.5. Na hipótese de o licitante não atender às exigências para habilitação, ou se recusar a assinar o contrato, o Agente de Contratação/Comissão examinará a proposta subsequente e assim sucessivamente, na ordem de classificação, até a apuração de uma proposta que atenda ao presente edital.</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14.22.5.1. Nas hipóteses previstas no item anterior, o Agente de Contratação da Comissão Especial de Contratação poderá negociar diretamente com o proponente para que seja obtido melhor preço, tendo sempre como parâmetro a menor oferta apresentada no certame.</w:t>
      </w:r>
    </w:p>
    <w:p>
      <w:pPr>
        <w:pStyle w:val="Normal"/>
        <w:jc w:val="both"/>
        <w:rPr>
          <w:rFonts w:ascii="Arial" w:hAnsi="Arial" w:cs="Arial"/>
        </w:rPr>
      </w:pPr>
      <w:r>
        <w:rPr>
          <w:rFonts w:cs="Arial" w:ascii="Arial" w:hAnsi="Arial"/>
        </w:rPr>
      </w:r>
    </w:p>
    <w:p>
      <w:pPr>
        <w:pStyle w:val="ListParagraph"/>
        <w:ind w:left="0" w:hanging="0"/>
        <w:rPr>
          <w:rFonts w:ascii="Arial" w:hAnsi="Arial"/>
        </w:rPr>
      </w:pPr>
      <w:r>
        <w:rPr>
          <w:rFonts w:cs="Arial" w:ascii="Arial" w:hAnsi="Arial"/>
          <w:bCs/>
          <w:iCs/>
        </w:rPr>
        <w:t xml:space="preserve">14.22.6. </w:t>
      </w:r>
      <w:r>
        <w:rPr>
          <w:rFonts w:cs="Arial" w:ascii="Arial" w:hAnsi="Arial"/>
        </w:rPr>
        <w:t>Para fins de análise dos documentos de habilitação quanto ao cumprimento das especificações do objeto, poderá ser colhida a manifestação escrita do setor requisitante do serviço ou da área especializada no objeto.</w:t>
      </w:r>
    </w:p>
    <w:p>
      <w:pPr>
        <w:pStyle w:val="ListParagraph"/>
        <w:ind w:left="0" w:hanging="0"/>
        <w:rPr>
          <w:rFonts w:ascii="Arial" w:hAnsi="Arial" w:cs="Arial"/>
        </w:rPr>
      </w:pPr>
      <w:r>
        <w:rPr>
          <w:rFonts w:cs="Arial" w:ascii="Arial" w:hAnsi="Arial"/>
        </w:rPr>
      </w:r>
    </w:p>
    <w:p>
      <w:pPr>
        <w:pStyle w:val="Normal"/>
        <w:tabs>
          <w:tab w:val="clear" w:pos="720"/>
          <w:tab w:val="left" w:pos="680" w:leader="none"/>
        </w:tabs>
        <w:jc w:val="both"/>
        <w:rPr/>
      </w:pPr>
      <w:r>
        <w:rPr>
          <w:rFonts w:eastAsia="Arial" w:cs="Arial" w:ascii="Arial" w:hAnsi="Arial"/>
          <w:iCs/>
        </w:rPr>
        <w:t>14.22.7. Após a verificação das condições dos itens antecedentes, os documentos de habilitação serão apreciados e, posteriormente a análise, será declarado vencedor o licitante classificado em primeiro lugar, caso tenha atendido a todas as exigências do edital.</w:t>
      </w:r>
    </w:p>
    <w:p>
      <w:pPr>
        <w:pStyle w:val="Normal"/>
        <w:jc w:val="both"/>
        <w:rPr>
          <w:rFonts w:ascii="Arial" w:hAnsi="Arial" w:cs="Arial"/>
          <w:b/>
          <w:b/>
        </w:rPr>
      </w:pPr>
      <w:r>
        <w:rPr>
          <w:rFonts w:cs="Arial" w:ascii="Arial" w:hAnsi="Arial"/>
          <w:b/>
        </w:rPr>
      </w:r>
    </w:p>
    <w:p>
      <w:pPr>
        <w:pStyle w:val="Normal"/>
        <w:jc w:val="both"/>
        <w:rPr>
          <w:rFonts w:ascii="Arial" w:hAnsi="Arial" w:cs="Arial"/>
          <w:b/>
          <w:b/>
        </w:rPr>
      </w:pPr>
      <w:r>
        <w:rPr>
          <w:rFonts w:cs="Arial" w:ascii="Arial" w:hAnsi="Arial"/>
          <w:b/>
        </w:rPr>
      </w:r>
    </w:p>
    <w:p>
      <w:pPr>
        <w:pStyle w:val="Normal"/>
        <w:jc w:val="both"/>
        <w:rPr/>
      </w:pPr>
      <w:r>
        <w:rPr>
          <w:rFonts w:cs="Arial" w:ascii="Arial" w:hAnsi="Arial"/>
          <w:b/>
        </w:rPr>
        <w:t>15. DOS RECURSOS</w:t>
      </w:r>
    </w:p>
    <w:p>
      <w:pPr>
        <w:pStyle w:val="Normal"/>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15.1. A interposição de recurso referente ao julgamento das propostas, à habilitação ou inabilitação de licitantes, à anulação ou revogação da licitação, observará o disposto no art. 165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15.2. O prazo recursal é de 3 (três) dias úteis, contados da data de intimação ou de lavratura da ata.</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15.3. Quando o recurso apresentado impugnar o julgamento das propostas ou o ato de habilitação ou inabilitação do licitante:</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15.3.1.</w:t>
        <w:tab/>
        <w:t xml:space="preserve"> A intenção de recorrer deverá ser manifestada imediatamente, no prazo máximo de 30 (trinta) minutos,por meio do sistema eletrônico, sob pena de preclusão;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15.3.2.</w:t>
        <w:tab/>
        <w:t>O prazo para apresentação das razões recursais será iniciado na data de intimação ou de lavratura da ata de habilitação ou inabilitação;</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15.4. Os recursos deverão ser encaminhados em campo próprio do sistema.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15.5.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15.6. Os recursos interpostos fora do prazo não serão conhecidos. </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15.7.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 xml:space="preserve">15.8. O recurso e o pedido de reconsideração terão efeito suspensivo do ato ou da decisão recorrida até que sobrevenha decisão final da autoridade competente. </w:t>
      </w:r>
    </w:p>
    <w:p>
      <w:pPr>
        <w:pStyle w:val="Normal"/>
        <w:jc w:val="both"/>
        <w:rPr>
          <w:rFonts w:ascii="Arial" w:hAnsi="Arial"/>
        </w:rPr>
      </w:pPr>
      <w:r>
        <w:rPr>
          <w:rFonts w:cs="Arial" w:ascii="Arial" w:hAnsi="Arial"/>
        </w:rPr>
        <w:t>15.9. O acolhimento do recurso invalida tão somente os atos insuscetíveis de aproveitamento.</w:t>
      </w:r>
    </w:p>
    <w:p>
      <w:pPr>
        <w:pStyle w:val="Normal"/>
        <w:shd w:val="clear" w:color="auto" w:fill="FFFFFF"/>
        <w:jc w:val="both"/>
        <w:rPr>
          <w:rFonts w:ascii="Arial" w:hAnsi="Arial" w:cs="Arial"/>
          <w:b/>
          <w:b/>
          <w:color w:val="000000"/>
        </w:rPr>
      </w:pPr>
      <w:r>
        <w:rPr>
          <w:rFonts w:cs="Arial" w:ascii="Arial" w:hAnsi="Arial"/>
          <w:b/>
          <w:color w:val="000000"/>
        </w:rPr>
      </w:r>
    </w:p>
    <w:p>
      <w:pPr>
        <w:pStyle w:val="Normal"/>
        <w:shd w:val="clear" w:color="auto" w:fill="FFFFFF"/>
        <w:jc w:val="both"/>
        <w:rPr>
          <w:rFonts w:ascii="Arial" w:hAnsi="Arial" w:cs="Arial"/>
          <w:b/>
          <w:b/>
          <w:color w:val="000000"/>
        </w:rPr>
      </w:pPr>
      <w:r>
        <w:rPr>
          <w:rFonts w:cs="Arial" w:ascii="Arial" w:hAnsi="Arial"/>
          <w:b/>
          <w:color w:val="000000"/>
        </w:rPr>
      </w:r>
    </w:p>
    <w:p>
      <w:pPr>
        <w:pStyle w:val="Normal"/>
        <w:shd w:val="clear" w:color="auto" w:fill="FFFFFF"/>
        <w:jc w:val="both"/>
        <w:rPr/>
      </w:pPr>
      <w:r>
        <w:rPr>
          <w:rFonts w:cs="Arial" w:ascii="Arial" w:hAnsi="Arial"/>
          <w:b/>
          <w:color w:val="000000"/>
        </w:rPr>
        <w:t>16. DA HOMOLOGAÇÃO E DA CONVOCAÇÃO PARA ASSINAR O CONTRATO</w:t>
      </w:r>
    </w:p>
    <w:p>
      <w:pPr>
        <w:pStyle w:val="Normal"/>
        <w:shd w:val="clear" w:color="auto" w:fill="FFFFFF"/>
        <w:jc w:val="both"/>
        <w:rPr>
          <w:rFonts w:ascii="Arial" w:hAnsi="Arial" w:cs="Arial"/>
          <w:b/>
          <w:b/>
        </w:rPr>
      </w:pPr>
      <w:r>
        <w:rPr>
          <w:rFonts w:cs="Arial" w:ascii="Arial" w:hAnsi="Arial"/>
          <w:b/>
        </w:rPr>
      </w:r>
    </w:p>
    <w:p>
      <w:pPr>
        <w:pStyle w:val="Normal"/>
        <w:jc w:val="both"/>
        <w:rPr>
          <w:rFonts w:ascii="Arial" w:hAnsi="Arial"/>
        </w:rPr>
      </w:pPr>
      <w:r>
        <w:rPr>
          <w:rFonts w:cs="Arial" w:ascii="Arial" w:hAnsi="Arial"/>
        </w:rPr>
        <w:t>16.1. Encerradas as fases de julgamento e habilitação, e exauridos os recursos administrativos, o processo licitatório será encaminhado à autoridade superior para adjudicar o objeto e homologar o procedimento, observado o disposto no art. 71 da Lei nº 14.133, de 2021.</w:t>
      </w:r>
    </w:p>
    <w:p>
      <w:pPr>
        <w:pStyle w:val="Normal"/>
        <w:jc w:val="both"/>
        <w:rPr>
          <w:rFonts w:ascii="Arial" w:hAnsi="Arial" w:cs="Arial"/>
        </w:rPr>
      </w:pPr>
      <w:r>
        <w:rPr>
          <w:rFonts w:cs="Arial" w:ascii="Arial" w:hAnsi="Arial"/>
        </w:rPr>
      </w:r>
    </w:p>
    <w:p>
      <w:pPr>
        <w:pStyle w:val="Normal"/>
        <w:jc w:val="both"/>
        <w:rPr>
          <w:rFonts w:ascii="Arial" w:hAnsi="Arial"/>
        </w:rPr>
      </w:pPr>
      <w:r>
        <w:rPr>
          <w:rFonts w:cs="Arial" w:ascii="Arial" w:hAnsi="Arial"/>
        </w:rPr>
        <w:t>16.2. Após a homologação e adjudicação, c</w:t>
      </w:r>
      <w:r>
        <w:rPr>
          <w:rFonts w:eastAsia="Arial" w:cs="Arial" w:ascii="Arial" w:hAnsi="Arial"/>
          <w:color w:val="000000" w:themeColor="text1"/>
        </w:rPr>
        <w:t>aso se conclua pela contratação, será firmado termo de contrato, ou outro instrumento equivalente.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16.3. O adjudicatário será convocado para assinar o termo de contrato ou instrumento equivalente, no prazo de até 05 (cinco) dias úteis, sob pena de decair o direito à contratação, sem prejuízo das sanções previstas na Lei nº 14.133, de 2021.</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16.4. </w:t>
      </w:r>
      <w:bookmarkStart w:id="2" w:name="_Ref167884958"/>
      <w:r>
        <w:rPr>
          <w:rFonts w:cs="Arial" w:ascii="Arial" w:hAnsi="Arial"/>
          <w:color w:val="000000"/>
        </w:rPr>
        <w:t>Alternativamente à convocação para comparecimento presencial para a assinatura do Termo de Contrato ou instrumento equivalente, a Administração poderá adotar os seguintes meios para envio e assinatura:</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a) Remessa por correspondência postal com Aviso de Recebimento (AR), com prazo de 05 (cinco) dias úteis para assinatura e devolução, contados a partir do recebimento pelo destinatário;</w:t>
      </w:r>
    </w:p>
    <w:p>
      <w:pPr>
        <w:pStyle w:val="Nivel2"/>
        <w:spacing w:lineRule="auto" w:line="240" w:before="0" w:after="0"/>
        <w:ind w:left="0" w:hanging="0"/>
        <w:rPr>
          <w:rFonts w:ascii="Arial" w:hAnsi="Arial" w:eastAsia="Arial MT" w:cs="Arial"/>
          <w:color w:val="000000"/>
          <w:sz w:val="22"/>
          <w:szCs w:val="22"/>
          <w:lang w:val="pt-PT" w:eastAsia="en-US"/>
        </w:rPr>
      </w:pPr>
      <w:r>
        <w:rPr>
          <w:rFonts w:eastAsia="Arial MT" w:cs="Arial" w:ascii="Arial" w:hAnsi="Arial"/>
          <w:color w:val="000000"/>
          <w:sz w:val="22"/>
          <w:szCs w:val="22"/>
          <w:lang w:val="pt-PT" w:eastAsia="en-US"/>
        </w:rPr>
      </w:r>
    </w:p>
    <w:p>
      <w:pPr>
        <w:pStyle w:val="Nivel2"/>
        <w:spacing w:lineRule="auto" w:line="240" w:before="0" w:after="0"/>
        <w:ind w:left="0" w:hanging="0"/>
        <w:rPr/>
      </w:pPr>
      <w:r>
        <w:rPr>
          <w:rFonts w:eastAsia="Arial MT" w:cs="Arial" w:ascii="Arial" w:hAnsi="Arial"/>
          <w:color w:val="000000"/>
          <w:sz w:val="22"/>
          <w:szCs w:val="22"/>
          <w:lang w:val="pt-PT" w:eastAsia="en-US"/>
        </w:rPr>
        <w:t>b) Envio por meio eletrônico, incluindo correio eletrônico institucional (e-mail) ou plataforma oficial de assinatura digital adotada pela Administração, desde que garantida a autenticidade, integridade e validade jurídica do ato. A assinatura deverá ser realizada por meio digital ou eletrônica, conforme disposto na legislação vigente, utilizando-se certificado digital no padrão ICP-Brasil ou outro meio que assegure a autoria e integridade do documento. O prazo para assinatura e devolução será de 05 (cinco) dias úteis a contar do recebimento da notificação pela Administração, devendo o contratado confirmar o recebimento da comunicação eletrônica no prazo de 01 (um) dia útil.</w:t>
      </w:r>
      <w:bookmarkEnd w:id="2"/>
    </w:p>
    <w:p>
      <w:pPr>
        <w:pStyle w:val="Normal"/>
        <w:jc w:val="both"/>
        <w:rPr>
          <w:rFonts w:ascii="Arial" w:hAnsi="Arial" w:cs="Arial"/>
          <w:shd w:fill="81D41A" w:val="clear"/>
        </w:rPr>
      </w:pPr>
      <w:r>
        <w:rPr>
          <w:rFonts w:cs="Arial" w:ascii="Arial" w:hAnsi="Arial"/>
          <w:shd w:fill="81D41A" w:val="clear"/>
        </w:rPr>
      </w:r>
    </w:p>
    <w:p>
      <w:pPr>
        <w:pStyle w:val="Normal"/>
        <w:jc w:val="both"/>
        <w:rPr/>
      </w:pPr>
      <w:r>
        <w:rPr>
          <w:rFonts w:cs="Arial" w:ascii="Arial" w:hAnsi="Arial"/>
        </w:rPr>
        <w:t>16.5.</w:t>
      </w:r>
      <w:r>
        <w:rPr>
          <w:rFonts w:cs="Arial" w:ascii="Arial" w:hAnsi="Arial"/>
          <w:color w:val="000000"/>
        </w:rPr>
        <w:t xml:space="preserve"> </w:t>
      </w:r>
      <w:r>
        <w:rPr>
          <w:rFonts w:eastAsia="Arial" w:cs="Arial" w:ascii="Arial" w:hAnsi="Arial"/>
          <w:color w:val="000000" w:themeColor="text1"/>
        </w:rPr>
        <w:t>O prazo fixado nos subitens 16.3 e 16.4 poderão ser prorrogados, por igual período, mediante solicitação da parte durante seu transcurso, devidamente justificada, e desde que o motivo apresentado seja aceito pela Administração.</w:t>
      </w:r>
    </w:p>
    <w:p>
      <w:pPr>
        <w:pStyle w:val="Normal"/>
        <w:jc w:val="both"/>
        <w:rPr>
          <w:rFonts w:ascii="Arial" w:hAnsi="Arial" w:cs="Arial"/>
        </w:rPr>
      </w:pPr>
      <w:r>
        <w:rPr>
          <w:rFonts w:cs="Arial" w:ascii="Arial" w:hAnsi="Arial"/>
        </w:rPr>
      </w:r>
    </w:p>
    <w:p>
      <w:pPr>
        <w:pStyle w:val="Normal"/>
        <w:jc w:val="both"/>
        <w:rPr/>
      </w:pPr>
      <w:r>
        <w:rPr>
          <w:rFonts w:cs="Arial" w:ascii="Arial" w:hAnsi="Arial"/>
        </w:rPr>
        <w:t>16.6. No ato de assinatura do contrato será exigida a comprovação das condições de habilitação consignadas no edital, as quais deverão ser mantidas pelo licitante durante toda a vigência do pacto, bem como das garantias exigidas no instrumento convocatório.</w:t>
      </w:r>
    </w:p>
    <w:p>
      <w:pPr>
        <w:pStyle w:val="Normal"/>
        <w:jc w:val="both"/>
        <w:rPr>
          <w:rFonts w:ascii="Arial" w:hAnsi="Arial" w:cs="Arial"/>
        </w:rPr>
      </w:pPr>
      <w:r>
        <w:rPr>
          <w:rFonts w:cs="Arial" w:ascii="Arial" w:hAnsi="Arial"/>
        </w:rPr>
      </w:r>
    </w:p>
    <w:p>
      <w:pPr>
        <w:pStyle w:val="Normal"/>
        <w:jc w:val="both"/>
        <w:rPr/>
      </w:pPr>
      <w:r>
        <w:rPr>
          <w:rFonts w:cs="Arial" w:ascii="Arial" w:hAnsi="Arial"/>
        </w:rPr>
        <w:t>16.7. Para efetivar a assinatura do contrato, o licitante vencedor deverá apresentar o comprovante de situação regular junto à Seguridade Social (INSS) e ao Fundo de Garantia por Tempo de Serviço – FGTS, bem como Certidão Negativa com o Município de Aracruz.</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16.8. O licitante que convocado para assinar o contrato e deixar de fazê-lo no prazo fixado, estará sujeito à aplicação das penalidades previstas na legislação correspondente.</w:t>
      </w:r>
    </w:p>
    <w:p>
      <w:pPr>
        <w:pStyle w:val="Ttulo1"/>
        <w:tabs>
          <w:tab w:val="clear" w:pos="720"/>
          <w:tab w:val="left" w:pos="363" w:leader="none"/>
        </w:tabs>
        <w:ind w:left="0" w:hanging="0"/>
        <w:jc w:val="both"/>
        <w:rPr>
          <w:color w:val="000009"/>
          <w:spacing w:val="-1"/>
          <w:sz w:val="22"/>
          <w:szCs w:val="22"/>
        </w:rPr>
      </w:pPr>
      <w:r>
        <w:rPr>
          <w:color w:val="000009"/>
          <w:spacing w:val="-1"/>
          <w:sz w:val="22"/>
          <w:szCs w:val="22"/>
        </w:rPr>
      </w:r>
    </w:p>
    <w:p>
      <w:pPr>
        <w:pStyle w:val="Ttulo1"/>
        <w:tabs>
          <w:tab w:val="clear" w:pos="720"/>
          <w:tab w:val="left" w:pos="363" w:leader="none"/>
        </w:tabs>
        <w:ind w:left="0" w:hanging="0"/>
        <w:jc w:val="both"/>
        <w:rPr>
          <w:color w:val="000009"/>
          <w:spacing w:val="-1"/>
          <w:sz w:val="22"/>
          <w:szCs w:val="22"/>
        </w:rPr>
      </w:pPr>
      <w:r>
        <w:rPr>
          <w:color w:val="000009"/>
          <w:spacing w:val="-1"/>
          <w:sz w:val="22"/>
          <w:szCs w:val="22"/>
        </w:rPr>
      </w:r>
    </w:p>
    <w:p>
      <w:pPr>
        <w:pStyle w:val="Ttulo1"/>
        <w:tabs>
          <w:tab w:val="clear" w:pos="720"/>
          <w:tab w:val="left" w:pos="363" w:leader="none"/>
        </w:tabs>
        <w:ind w:left="0" w:hanging="0"/>
        <w:jc w:val="both"/>
        <w:rPr/>
      </w:pPr>
      <w:r>
        <w:rPr>
          <w:color w:val="000009"/>
          <w:spacing w:val="-1"/>
          <w:sz w:val="22"/>
          <w:szCs w:val="22"/>
        </w:rPr>
        <w:t>17. DA VISITA</w:t>
      </w:r>
      <w:r>
        <w:rPr>
          <w:color w:val="000009"/>
          <w:spacing w:val="-13"/>
          <w:sz w:val="22"/>
          <w:szCs w:val="22"/>
        </w:rPr>
        <w:t xml:space="preserve"> </w:t>
      </w:r>
      <w:r>
        <w:rPr>
          <w:color w:val="000009"/>
          <w:sz w:val="22"/>
          <w:szCs w:val="22"/>
        </w:rPr>
        <w:t>TÉCNICA</w:t>
      </w:r>
    </w:p>
    <w:p>
      <w:pPr>
        <w:pStyle w:val="Corpodotexto"/>
        <w:rPr>
          <w:rFonts w:ascii="Arial" w:hAnsi="Arial"/>
          <w:b/>
          <w:b/>
          <w:sz w:val="22"/>
          <w:szCs w:val="22"/>
        </w:rPr>
      </w:pPr>
      <w:r>
        <w:rPr>
          <w:rFonts w:ascii="Arial" w:hAnsi="Arial"/>
          <w:b/>
          <w:sz w:val="22"/>
          <w:szCs w:val="22"/>
        </w:rPr>
      </w:r>
    </w:p>
    <w:p>
      <w:pPr>
        <w:pStyle w:val="Normal"/>
        <w:jc w:val="both"/>
        <w:rPr>
          <w:rFonts w:ascii="Arial" w:hAnsi="Arial"/>
        </w:rPr>
      </w:pPr>
      <w:r>
        <w:rPr>
          <w:rFonts w:cs="Arial" w:ascii="Arial" w:hAnsi="Arial"/>
        </w:rPr>
        <w:t>17.1. A visita técnica para conhecimento pleno da área de execução das obras/serviços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necessários para a formulação da proposta.</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17.2. A visita técnica, quando realizada, deverá ser por representante indicado expressamente pela empresa, com o acompanhamento de servidor público designado para essa finalidade,  de acordo com o item 11 do Projeto Básico, devendo ser realizado o prévio agendamento junto a </w:t>
      </w:r>
      <w:r>
        <w:rPr>
          <w:rStyle w:val="LinkdaInternet"/>
          <w:rFonts w:cs="Arial" w:ascii="Arial" w:hAnsi="Arial"/>
          <w:color w:val="000000"/>
          <w:u w:val="none"/>
        </w:rPr>
        <w:t xml:space="preserve"> Secretaria Municipal de Obras, localizada na Avenida Morobá, nº 20 - Bairro Morobá, Aracruz/ES, ou através do telefone (27) 9.9919-3345.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17.2.1. As visitas serão agendadas em tempo hábil e em dias e horários distintos entre as licitantes, de forma individual, não se permitindo em nenhuma hipótese, visitas conjuntas ou concomitantes, a fim de preservar os princípios da impessoalidade, isonomia e eficiência do processo licitatório.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17.3. Os representantes das empresas que decidirem participar da visita técnica deverão comparecer munidos de documento de identificação e carta de credenciamento, conforme modelo constante do Anexo VI, assinada pelo titular ou representante legal da empresa interessada, acompanhada de estatuto, contrato social ou documento equivalente comprovando que o outorgante tem poderes para conceder representação. </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 xml:space="preserve">17.4. </w:t>
      </w:r>
      <w:r>
        <w:rPr>
          <w:rStyle w:val="LinkdaInternet"/>
          <w:rFonts w:cs="Arial" w:ascii="Arial" w:hAnsi="Arial"/>
          <w:color w:val="auto"/>
          <w:u w:val="none"/>
        </w:rPr>
        <w:t>O Licitante não poderá alegar, posteriormente, desconhecimento de qualquer fato.</w:t>
      </w:r>
    </w:p>
    <w:p>
      <w:pPr>
        <w:pStyle w:val="Normal"/>
        <w:jc w:val="both"/>
        <w:rPr>
          <w:rFonts w:ascii="Arial" w:hAnsi="Arial" w:cs="Arial"/>
        </w:rPr>
      </w:pPr>
      <w:r>
        <w:rPr>
          <w:rFonts w:cs="Arial" w:ascii="Arial" w:hAnsi="Arial"/>
        </w:rPr>
      </w:r>
    </w:p>
    <w:p>
      <w:pPr>
        <w:pStyle w:val="Normal"/>
        <w:tabs>
          <w:tab w:val="clear" w:pos="720"/>
          <w:tab w:val="left" w:pos="466" w:leader="none"/>
        </w:tabs>
        <w:jc w:val="both"/>
        <w:rPr>
          <w:rFonts w:ascii="Arial" w:hAnsi="Arial"/>
        </w:rPr>
      </w:pPr>
      <w:r>
        <w:rPr>
          <w:rFonts w:cs="Arial" w:ascii="Arial" w:hAnsi="Arial"/>
        </w:rPr>
        <w:t>17.5. Realizada ou não a visita técnica, o licitante deverá, para fins de qualificação técnica, declarar que tem conhecimento pleno dos locais e das condições em que deverá ser executada a obra, nos moldes da declaração constante do Anexo VII</w:t>
      </w:r>
      <w:r>
        <w:rPr>
          <w:rFonts w:cs="Arial" w:ascii="Arial" w:hAnsi="Arial"/>
          <w:color w:val="FF0000"/>
        </w:rPr>
        <w:t xml:space="preserve"> </w:t>
      </w:r>
      <w:r>
        <w:rPr>
          <w:rFonts w:cs="Arial" w:ascii="Arial" w:hAnsi="Arial"/>
        </w:rPr>
        <w:t>– MODELO DE DECLARAÇÃO DE CONHECIMENTO DOS LOCAIS E CONDIÇÕES.</w:t>
      </w:r>
    </w:p>
    <w:p>
      <w:pPr>
        <w:pStyle w:val="ListParagraph"/>
        <w:tabs>
          <w:tab w:val="clear" w:pos="720"/>
          <w:tab w:val="left" w:pos="474" w:leader="none"/>
        </w:tabs>
        <w:rPr>
          <w:rFonts w:ascii="Arial" w:hAnsi="Arial"/>
        </w:rPr>
      </w:pPr>
      <w:r>
        <w:rPr>
          <w:rFonts w:cs="Arial" w:ascii="Arial" w:hAnsi="Arial"/>
          <w:b/>
          <w:bCs/>
        </w:rPr>
        <w:t xml:space="preserve"> </w:t>
      </w:r>
    </w:p>
    <w:p>
      <w:pPr>
        <w:pStyle w:val="Normal"/>
        <w:jc w:val="both"/>
        <w:rPr>
          <w:rFonts w:ascii="Arial" w:hAnsi="Arial" w:cs="Arial"/>
          <w:b/>
          <w:b/>
          <w:bCs/>
        </w:rPr>
      </w:pPr>
      <w:r>
        <w:rPr>
          <w:rFonts w:cs="Arial" w:ascii="Arial" w:hAnsi="Arial"/>
          <w:b/>
          <w:bCs/>
        </w:rPr>
      </w:r>
    </w:p>
    <w:p>
      <w:pPr>
        <w:pStyle w:val="Normal"/>
        <w:jc w:val="both"/>
        <w:rPr/>
      </w:pPr>
      <w:r>
        <w:rPr>
          <w:rFonts w:cs="Arial" w:ascii="Arial" w:hAnsi="Arial"/>
          <w:b/>
          <w:bCs/>
        </w:rPr>
        <w:t>18. PRAZOS</w:t>
      </w:r>
      <w:r>
        <w:rPr>
          <w:rFonts w:cs="Arial" w:ascii="Arial" w:hAnsi="Arial"/>
          <w:b/>
          <w:bCs/>
          <w:spacing w:val="-2"/>
        </w:rPr>
        <w:t xml:space="preserve"> </w:t>
      </w:r>
      <w:r>
        <w:rPr>
          <w:rFonts w:cs="Arial" w:ascii="Arial" w:hAnsi="Arial"/>
          <w:b/>
          <w:bCs/>
        </w:rPr>
        <w:t>DE</w:t>
      </w:r>
      <w:r>
        <w:rPr>
          <w:rFonts w:cs="Arial" w:ascii="Arial" w:hAnsi="Arial"/>
          <w:b/>
          <w:bCs/>
          <w:spacing w:val="-2"/>
        </w:rPr>
        <w:t xml:space="preserve"> </w:t>
      </w:r>
      <w:r>
        <w:rPr>
          <w:rFonts w:cs="Arial" w:ascii="Arial" w:hAnsi="Arial"/>
          <w:b/>
          <w:bCs/>
        </w:rPr>
        <w:t>VIGÊNCIA</w:t>
      </w:r>
      <w:r>
        <w:rPr>
          <w:rFonts w:cs="Arial" w:ascii="Arial" w:hAnsi="Arial"/>
          <w:b/>
          <w:bCs/>
          <w:spacing w:val="-10"/>
        </w:rPr>
        <w:t xml:space="preserve"> </w:t>
      </w:r>
      <w:r>
        <w:rPr>
          <w:rFonts w:cs="Arial" w:ascii="Arial" w:hAnsi="Arial"/>
          <w:b/>
          <w:bCs/>
        </w:rPr>
        <w:t>E</w:t>
      </w:r>
      <w:r>
        <w:rPr>
          <w:rFonts w:cs="Arial" w:ascii="Arial" w:hAnsi="Arial"/>
          <w:b/>
          <w:bCs/>
          <w:spacing w:val="-3"/>
        </w:rPr>
        <w:t xml:space="preserve"> </w:t>
      </w:r>
      <w:r>
        <w:rPr>
          <w:rFonts w:cs="Arial" w:ascii="Arial" w:hAnsi="Arial"/>
          <w:b/>
          <w:bCs/>
        </w:rPr>
        <w:t>EXECUÇÃO</w:t>
      </w:r>
    </w:p>
    <w:p>
      <w:pPr>
        <w:pStyle w:val="ListParagraph"/>
        <w:tabs>
          <w:tab w:val="clear" w:pos="720"/>
          <w:tab w:val="left" w:pos="646" w:leader="none"/>
        </w:tabs>
        <w:spacing w:before="1" w:after="0"/>
        <w:ind w:left="142" w:right="57" w:hanging="0"/>
        <w:rPr>
          <w:rFonts w:ascii="Arial" w:hAnsi="Arial"/>
          <w:color w:val="000009"/>
        </w:rPr>
      </w:pPr>
      <w:r>
        <w:rPr>
          <w:rFonts w:ascii="Arial" w:hAnsi="Arial"/>
          <w:color w:val="000009"/>
        </w:rPr>
      </w:r>
    </w:p>
    <w:p>
      <w:pPr>
        <w:pStyle w:val="ListParagraph"/>
        <w:tabs>
          <w:tab w:val="clear" w:pos="720"/>
          <w:tab w:val="left" w:pos="646" w:leader="none"/>
        </w:tabs>
        <w:ind w:left="0" w:hanging="0"/>
        <w:rPr/>
      </w:pPr>
      <w:r>
        <w:rPr>
          <w:rFonts w:ascii="Arial" w:hAnsi="Arial"/>
          <w:color w:val="000009"/>
        </w:rPr>
        <w:t xml:space="preserve">18.1. O prazo de vigência contratual será de  </w:t>
      </w:r>
      <w:r>
        <w:rPr>
          <w:rFonts w:ascii="Arial" w:hAnsi="Arial"/>
          <w:b/>
          <w:bCs/>
          <w:color w:val="000009"/>
        </w:rPr>
        <w:t>630 (seiscentos e trinta) dias</w:t>
      </w:r>
      <w:r>
        <w:rPr>
          <w:rFonts w:ascii="Arial" w:hAnsi="Arial"/>
          <w:color w:val="000009"/>
        </w:rPr>
        <w:t>, com início no dia posterior ao da publicação do respectivo instrumento no Portal Nacional de Contratações Públicas – PCNP, excluindo-se o dia do início e incluindo-se o do vencimento.</w:t>
      </w:r>
    </w:p>
    <w:p>
      <w:pPr>
        <w:pStyle w:val="ListParagraph"/>
        <w:tabs>
          <w:tab w:val="clear" w:pos="720"/>
          <w:tab w:val="left" w:pos="646" w:leader="none"/>
        </w:tabs>
        <w:ind w:left="0" w:hanging="0"/>
        <w:rPr>
          <w:rFonts w:ascii="Arial" w:hAnsi="Arial"/>
          <w:color w:val="000009"/>
        </w:rPr>
      </w:pPr>
      <w:r>
        <w:rPr>
          <w:rFonts w:ascii="Arial" w:hAnsi="Arial"/>
          <w:color w:val="000009"/>
        </w:rPr>
      </w:r>
    </w:p>
    <w:p>
      <w:pPr>
        <w:pStyle w:val="ListParagraph"/>
        <w:tabs>
          <w:tab w:val="clear" w:pos="720"/>
          <w:tab w:val="left" w:pos="646" w:leader="none"/>
        </w:tabs>
        <w:ind w:left="0" w:hanging="0"/>
        <w:rPr/>
      </w:pPr>
      <w:r>
        <w:rPr>
          <w:rFonts w:ascii="Arial" w:hAnsi="Arial"/>
          <w:color w:val="000009"/>
        </w:rPr>
        <w:t>18.2. O prazo de execução dos serviços será de</w:t>
      </w:r>
      <w:r>
        <w:rPr>
          <w:rFonts w:ascii="Arial" w:hAnsi="Arial"/>
          <w:b/>
          <w:bCs/>
          <w:color w:val="000009"/>
        </w:rPr>
        <w:t xml:space="preserve"> 570 (quinhentos e quarenta) dias</w:t>
      </w:r>
      <w:r>
        <w:rPr>
          <w:rFonts w:ascii="Arial" w:hAnsi="Arial"/>
          <w:color w:val="000009"/>
        </w:rPr>
        <w:t>, a contar da data de</w:t>
      </w:r>
      <w:r>
        <w:rPr>
          <w:rFonts w:ascii="Arial" w:hAnsi="Arial"/>
          <w:color w:val="000009"/>
          <w:spacing w:val="-53"/>
        </w:rPr>
        <w:t xml:space="preserve"> </w:t>
      </w:r>
      <w:r>
        <w:rPr>
          <w:rFonts w:ascii="Arial" w:hAnsi="Arial"/>
          <w:color w:val="000009"/>
        </w:rPr>
        <w:t>recebimento da Ordem de Serviço pela Contratada e de acordo com o cronograma físico-financeiro,</w:t>
      </w:r>
      <w:r>
        <w:rPr>
          <w:rFonts w:ascii="Arial" w:hAnsi="Arial"/>
          <w:color w:val="000009"/>
          <w:spacing w:val="1"/>
        </w:rPr>
        <w:t xml:space="preserve"> </w:t>
      </w:r>
      <w:r>
        <w:rPr>
          <w:rFonts w:ascii="Arial" w:hAnsi="Arial"/>
          <w:color w:val="000009"/>
        </w:rPr>
        <w:t>excluindo-se</w:t>
      </w:r>
      <w:r>
        <w:rPr>
          <w:rFonts w:ascii="Arial" w:hAnsi="Arial"/>
          <w:color w:val="000009"/>
          <w:spacing w:val="-2"/>
        </w:rPr>
        <w:t xml:space="preserve"> </w:t>
      </w:r>
      <w:r>
        <w:rPr>
          <w:rFonts w:ascii="Arial" w:hAnsi="Arial"/>
          <w:color w:val="000009"/>
        </w:rPr>
        <w:t>o</w:t>
      </w:r>
      <w:r>
        <w:rPr>
          <w:rFonts w:ascii="Arial" w:hAnsi="Arial"/>
          <w:color w:val="000009"/>
          <w:spacing w:val="1"/>
        </w:rPr>
        <w:t xml:space="preserve"> </w:t>
      </w:r>
      <w:r>
        <w:rPr>
          <w:rFonts w:ascii="Arial" w:hAnsi="Arial"/>
          <w:color w:val="000009"/>
        </w:rPr>
        <w:t>dia</w:t>
      </w:r>
      <w:r>
        <w:rPr>
          <w:rFonts w:ascii="Arial" w:hAnsi="Arial"/>
          <w:color w:val="000009"/>
          <w:spacing w:val="-1"/>
        </w:rPr>
        <w:t xml:space="preserve"> </w:t>
      </w:r>
      <w:r>
        <w:rPr>
          <w:rFonts w:ascii="Arial" w:hAnsi="Arial"/>
          <w:color w:val="000009"/>
        </w:rPr>
        <w:t>do</w:t>
      </w:r>
      <w:r>
        <w:rPr>
          <w:rFonts w:ascii="Arial" w:hAnsi="Arial"/>
          <w:color w:val="000009"/>
          <w:spacing w:val="-1"/>
        </w:rPr>
        <w:t xml:space="preserve"> </w:t>
      </w:r>
      <w:r>
        <w:rPr>
          <w:rFonts w:ascii="Arial" w:hAnsi="Arial"/>
          <w:color w:val="000009"/>
        </w:rPr>
        <w:t>início</w:t>
      </w:r>
      <w:r>
        <w:rPr>
          <w:rFonts w:ascii="Arial" w:hAnsi="Arial"/>
          <w:color w:val="000009"/>
          <w:spacing w:val="2"/>
        </w:rPr>
        <w:t xml:space="preserve"> </w:t>
      </w:r>
      <w:r>
        <w:rPr>
          <w:rFonts w:ascii="Arial" w:hAnsi="Arial"/>
          <w:color w:val="000009"/>
        </w:rPr>
        <w:t>e</w:t>
      </w:r>
      <w:r>
        <w:rPr>
          <w:rFonts w:ascii="Arial" w:hAnsi="Arial"/>
          <w:color w:val="000009"/>
          <w:spacing w:val="-1"/>
        </w:rPr>
        <w:t xml:space="preserve"> </w:t>
      </w:r>
      <w:r>
        <w:rPr>
          <w:rFonts w:ascii="Arial" w:hAnsi="Arial"/>
          <w:color w:val="000009"/>
        </w:rPr>
        <w:t>incluindo-se</w:t>
      </w:r>
      <w:r>
        <w:rPr>
          <w:rFonts w:ascii="Arial" w:hAnsi="Arial"/>
          <w:color w:val="000009"/>
          <w:spacing w:val="-1"/>
        </w:rPr>
        <w:t xml:space="preserve"> </w:t>
      </w:r>
      <w:r>
        <w:rPr>
          <w:rFonts w:ascii="Arial" w:hAnsi="Arial"/>
          <w:color w:val="000009"/>
        </w:rPr>
        <w:t>o</w:t>
      </w:r>
      <w:r>
        <w:rPr>
          <w:rFonts w:ascii="Arial" w:hAnsi="Arial"/>
          <w:color w:val="000009"/>
          <w:spacing w:val="-1"/>
        </w:rPr>
        <w:t xml:space="preserve"> </w:t>
      </w:r>
      <w:r>
        <w:rPr>
          <w:rFonts w:ascii="Arial" w:hAnsi="Arial"/>
          <w:color w:val="000009"/>
        </w:rPr>
        <w:t>do</w:t>
      </w:r>
      <w:r>
        <w:rPr>
          <w:rFonts w:ascii="Arial" w:hAnsi="Arial"/>
          <w:color w:val="000009"/>
          <w:spacing w:val="-1"/>
        </w:rPr>
        <w:t xml:space="preserve"> </w:t>
      </w:r>
      <w:r>
        <w:rPr>
          <w:rFonts w:ascii="Arial" w:hAnsi="Arial"/>
          <w:color w:val="000009"/>
        </w:rPr>
        <w:t>vencimento.</w:t>
      </w:r>
    </w:p>
    <w:p>
      <w:pPr>
        <w:pStyle w:val="ListParagraph"/>
        <w:tabs>
          <w:tab w:val="clear" w:pos="720"/>
          <w:tab w:val="left" w:pos="646" w:leader="none"/>
        </w:tabs>
        <w:ind w:left="0" w:hanging="0"/>
        <w:rPr>
          <w:rFonts w:ascii="Arial" w:hAnsi="Arial"/>
        </w:rPr>
      </w:pPr>
      <w:r>
        <w:rPr>
          <w:rFonts w:ascii="Arial" w:hAnsi="Arial"/>
        </w:rPr>
      </w:r>
    </w:p>
    <w:p>
      <w:pPr>
        <w:pStyle w:val="ListParagraph"/>
        <w:tabs>
          <w:tab w:val="clear" w:pos="720"/>
          <w:tab w:val="left" w:pos="646" w:leader="none"/>
        </w:tabs>
        <w:ind w:left="0" w:hanging="0"/>
        <w:rPr/>
      </w:pPr>
      <w:r>
        <w:rPr>
          <w:rFonts w:ascii="Arial" w:hAnsi="Arial"/>
          <w:color w:val="000009"/>
        </w:rPr>
        <w:t xml:space="preserve">18.2.1.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hanging="0"/>
        <w:rPr>
          <w:rFonts w:ascii="Arial" w:hAnsi="Arial"/>
        </w:rPr>
      </w:pPr>
      <w:r>
        <w:rPr>
          <w:rFonts w:ascii="Arial" w:hAnsi="Arial"/>
        </w:rPr>
      </w:r>
    </w:p>
    <w:p>
      <w:pPr>
        <w:pStyle w:val="Normal"/>
        <w:tabs>
          <w:tab w:val="clear" w:pos="720"/>
          <w:tab w:val="left" w:pos="646" w:leader="none"/>
        </w:tabs>
        <w:rPr/>
      </w:pPr>
      <w:r>
        <w:rPr>
          <w:rFonts w:ascii="Arial" w:hAnsi="Arial"/>
          <w:color w:val="000009"/>
        </w:rPr>
        <w:t xml:space="preserve">18.3. </w:t>
      </w:r>
      <w:r>
        <w:rPr>
          <w:rFonts w:ascii="Arial" w:hAnsi="Arial"/>
          <w:bCs/>
          <w:color w:val="000009"/>
        </w:rPr>
        <w:t>O prazo de vigência do contrato é superior ao de execução dos serviços para:</w:t>
      </w:r>
    </w:p>
    <w:p>
      <w:pPr>
        <w:pStyle w:val="ListParagraph"/>
        <w:tabs>
          <w:tab w:val="clear" w:pos="720"/>
          <w:tab w:val="left" w:pos="368" w:leader="none"/>
        </w:tabs>
        <w:ind w:left="0" w:hanging="0"/>
        <w:rPr>
          <w:rFonts w:ascii="Arial" w:hAnsi="Arial"/>
          <w:bCs/>
          <w:color w:val="000009"/>
        </w:rPr>
      </w:pPr>
      <w:r>
        <w:rPr>
          <w:rFonts w:ascii="Arial" w:hAnsi="Arial"/>
          <w:bCs/>
          <w:color w:val="000009"/>
        </w:rPr>
      </w:r>
    </w:p>
    <w:p>
      <w:pPr>
        <w:pStyle w:val="ListParagraph"/>
        <w:tabs>
          <w:tab w:val="clear" w:pos="720"/>
          <w:tab w:val="left" w:pos="368" w:leader="none"/>
        </w:tabs>
        <w:ind w:left="0" w:hanging="0"/>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hanging="0"/>
        <w:rPr/>
      </w:pPr>
      <w:r>
        <w:rPr/>
      </w:r>
    </w:p>
    <w:p>
      <w:pPr>
        <w:pStyle w:val="ListParagraph"/>
        <w:tabs>
          <w:tab w:val="clear" w:pos="720"/>
          <w:tab w:val="left" w:pos="375" w:leader="none"/>
        </w:tabs>
        <w:ind w:left="0" w:hanging="0"/>
        <w:rPr/>
      </w:pPr>
      <w:r>
        <w:rPr>
          <w:rFonts w:ascii="Arial" w:hAnsi="Arial"/>
          <w:bCs/>
          <w:color w:val="000009"/>
        </w:rPr>
        <w:t>b) Propiciar tempo hábil para que sejam efetuados os pagamentos devidos;</w:t>
      </w:r>
    </w:p>
    <w:p>
      <w:pPr>
        <w:pStyle w:val="ListParagraph"/>
        <w:tabs>
          <w:tab w:val="clear" w:pos="720"/>
          <w:tab w:val="left" w:pos="365" w:leader="none"/>
        </w:tabs>
        <w:ind w:left="0" w:hanging="0"/>
        <w:rPr/>
      </w:pPr>
      <w:r>
        <w:rPr/>
      </w:r>
    </w:p>
    <w:p>
      <w:pPr>
        <w:pStyle w:val="ListParagraph"/>
        <w:tabs>
          <w:tab w:val="clear" w:pos="720"/>
          <w:tab w:val="left" w:pos="365" w:leader="none"/>
        </w:tabs>
        <w:ind w:left="0" w:hanging="0"/>
        <w:rPr/>
      </w:pPr>
      <w:r>
        <w:rPr>
          <w:rFonts w:ascii="Arial" w:hAnsi="Arial"/>
          <w:bCs/>
          <w:color w:val="000009"/>
        </w:rPr>
        <w:t>c) Englobar os recebimentos provisórios e definitivos.</w:t>
      </w:r>
    </w:p>
    <w:p>
      <w:pPr>
        <w:pStyle w:val="Normal"/>
        <w:tabs>
          <w:tab w:val="clear" w:pos="720"/>
          <w:tab w:val="left" w:pos="365" w:leader="none"/>
        </w:tabs>
        <w:jc w:val="both"/>
        <w:rPr>
          <w:rFonts w:ascii="Arial" w:hAnsi="Arial"/>
          <w:bCs/>
          <w:color w:val="000009"/>
        </w:rPr>
      </w:pPr>
      <w:r>
        <w:rPr>
          <w:rFonts w:ascii="Arial" w:hAnsi="Arial"/>
          <w:bCs/>
          <w:color w:val="000009"/>
        </w:rPr>
      </w:r>
    </w:p>
    <w:p>
      <w:pPr>
        <w:pStyle w:val="Normal"/>
        <w:tabs>
          <w:tab w:val="clear" w:pos="720"/>
          <w:tab w:val="left" w:pos="365" w:leader="none"/>
        </w:tabs>
        <w:jc w:val="both"/>
        <w:rPr/>
      </w:pPr>
      <w:r>
        <w:rPr>
          <w:rFonts w:ascii="Arial" w:hAnsi="Arial"/>
          <w:bCs/>
          <w:color w:val="000009"/>
        </w:rPr>
        <w:t>18.4. O prazo para a assinatura do Contrato é de 05 (cinco) dias úteis, contados a partir da data da convocação para esse fim.</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18.5.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18.6. A fiscalização fornecerá, junto com a Ordem de Serviço, todos os elementos indispensáveis ao início da execução da obra.</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rFonts w:ascii="Arial" w:hAnsi="Arial"/>
          <w:bCs/>
          <w:color w:val="000009"/>
          <w:sz w:val="22"/>
          <w:szCs w:val="22"/>
        </w:rPr>
      </w:pPr>
      <w:r>
        <w:rPr>
          <w:rFonts w:ascii="Arial" w:hAnsi="Arial"/>
          <w:bCs/>
          <w:color w:val="000009"/>
          <w:sz w:val="22"/>
          <w:szCs w:val="22"/>
        </w:rPr>
        <w:t>18.8.1. A prorrogação automática deve ser registrada por apostilamento e instruída com a exposição das justificativas e o novo cronograma de execução e desembolso.</w:t>
      </w:r>
      <w:bookmarkStart w:id="3" w:name="_Hlk199317937"/>
      <w:bookmarkEnd w:id="3"/>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bookmarkStart w:id="4" w:name="_Hlk199317980"/>
      <w:bookmarkEnd w:id="4"/>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18.11.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18.12. Na contagem dos prazos estabelecidos neste instrumento, excluir-se-á o dia do começo e incluir-se-á o do vencimento, observando o disposto no art. 183 da Lei nº. 14.133/21. </w:t>
      </w:r>
    </w:p>
    <w:p>
      <w:pPr>
        <w:pStyle w:val="Normal"/>
        <w:jc w:val="both"/>
        <w:rPr>
          <w:rFonts w:ascii="Arial" w:hAnsi="Arial" w:cs="Arial"/>
        </w:rPr>
      </w:pPr>
      <w:r>
        <w:rPr>
          <w:rFonts w:cs="Arial" w:ascii="Arial" w:hAnsi="Arial"/>
        </w:rPr>
      </w:r>
    </w:p>
    <w:p>
      <w:pPr>
        <w:pStyle w:val="Corpodotexto"/>
        <w:spacing w:before="7" w:after="0"/>
        <w:jc w:val="both"/>
        <w:rPr>
          <w:rFonts w:ascii="Arial" w:hAnsi="Arial"/>
          <w:sz w:val="22"/>
          <w:szCs w:val="22"/>
        </w:rPr>
      </w:pPr>
      <w:r>
        <w:rPr>
          <w:rFonts w:cs="Arial" w:ascii="Arial" w:hAnsi="Arial"/>
          <w:color w:val="000009"/>
          <w:sz w:val="22"/>
          <w:szCs w:val="22"/>
        </w:rPr>
        <w:t>18.13. O contrato deverá ser divulgado, no prazo de 20 (vinte) dias úteis, contados de sua assinatura, no Portal Nacional de Contratações Públicas (PNCP), nos termos do art. 94 da Lei 14.133/2021.</w:t>
      </w:r>
    </w:p>
    <w:p>
      <w:pPr>
        <w:pStyle w:val="Ttulo1"/>
        <w:tabs>
          <w:tab w:val="clear" w:pos="720"/>
          <w:tab w:val="left" w:pos="474" w:leader="none"/>
        </w:tabs>
        <w:ind w:left="0" w:hanging="0"/>
        <w:jc w:val="both"/>
        <w:rPr>
          <w:sz w:val="22"/>
          <w:szCs w:val="22"/>
        </w:rPr>
      </w:pPr>
      <w:r>
        <w:rPr>
          <w:sz w:val="22"/>
          <w:szCs w:val="22"/>
        </w:rPr>
      </w:r>
      <w:bookmarkStart w:id="5" w:name="_Hlk199318001"/>
      <w:bookmarkStart w:id="6" w:name="_Hlk199321055"/>
      <w:bookmarkStart w:id="7" w:name="_Hlk199318001"/>
      <w:bookmarkStart w:id="8" w:name="_Hlk199321055"/>
      <w:bookmarkEnd w:id="7"/>
      <w:bookmarkEnd w:id="8"/>
    </w:p>
    <w:p>
      <w:pPr>
        <w:pStyle w:val="Ttulo1"/>
        <w:tabs>
          <w:tab w:val="clear" w:pos="720"/>
          <w:tab w:val="left" w:pos="474" w:leader="none"/>
        </w:tabs>
        <w:ind w:left="0" w:hanging="0"/>
        <w:jc w:val="both"/>
        <w:rPr>
          <w:sz w:val="22"/>
          <w:szCs w:val="22"/>
        </w:rPr>
      </w:pPr>
      <w:r>
        <w:rPr>
          <w:sz w:val="22"/>
          <w:szCs w:val="22"/>
        </w:rPr>
        <w:t>19. CONDIÇÕES</w:t>
      </w:r>
      <w:r>
        <w:rPr>
          <w:spacing w:val="-6"/>
          <w:sz w:val="22"/>
          <w:szCs w:val="22"/>
        </w:rPr>
        <w:t xml:space="preserve"> </w:t>
      </w:r>
      <w:r>
        <w:rPr>
          <w:sz w:val="22"/>
          <w:szCs w:val="22"/>
        </w:rPr>
        <w:t>DE</w:t>
      </w:r>
      <w:r>
        <w:rPr>
          <w:spacing w:val="-6"/>
          <w:sz w:val="22"/>
          <w:szCs w:val="22"/>
        </w:rPr>
        <w:t xml:space="preserve"> MEDIÇÃO, </w:t>
      </w:r>
      <w:r>
        <w:rPr>
          <w:sz w:val="22"/>
          <w:szCs w:val="22"/>
        </w:rPr>
        <w:t>PAGAMENTO</w:t>
      </w:r>
      <w:r>
        <w:rPr>
          <w:spacing w:val="-5"/>
          <w:sz w:val="22"/>
          <w:szCs w:val="22"/>
        </w:rPr>
        <w:t xml:space="preserve"> </w:t>
      </w:r>
      <w:r>
        <w:rPr>
          <w:sz w:val="22"/>
          <w:szCs w:val="22"/>
        </w:rPr>
        <w:t>E</w:t>
      </w:r>
      <w:r>
        <w:rPr>
          <w:spacing w:val="-4"/>
          <w:sz w:val="22"/>
          <w:szCs w:val="22"/>
        </w:rPr>
        <w:t xml:space="preserve"> </w:t>
      </w:r>
      <w:r>
        <w:rPr>
          <w:sz w:val="22"/>
          <w:szCs w:val="22"/>
        </w:rPr>
        <w:t>REAJUSTE</w:t>
      </w:r>
    </w:p>
    <w:p>
      <w:pPr>
        <w:pStyle w:val="Corpodotexto"/>
        <w:jc w:val="both"/>
        <w:rPr>
          <w:rFonts w:ascii="Arial" w:hAnsi="Arial"/>
          <w:bCs/>
          <w:sz w:val="22"/>
          <w:szCs w:val="22"/>
        </w:rPr>
      </w:pPr>
      <w:r>
        <w:rPr>
          <w:rFonts w:ascii="Arial" w:hAnsi="Arial"/>
          <w:bCs/>
          <w:sz w:val="22"/>
          <w:szCs w:val="22"/>
        </w:rPr>
      </w:r>
    </w:p>
    <w:p>
      <w:pPr>
        <w:pStyle w:val="Corpodotexto"/>
        <w:jc w:val="both"/>
        <w:rPr>
          <w:b/>
          <w:b/>
        </w:rPr>
      </w:pPr>
      <w:r>
        <w:rPr>
          <w:rFonts w:ascii="Arial" w:hAnsi="Arial"/>
          <w:b/>
          <w:bCs/>
          <w:sz w:val="22"/>
          <w:szCs w:val="22"/>
        </w:rPr>
        <w:t xml:space="preserve">19.1. DA MEDIÇÃO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 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f) Relação dos trabalhadores efetivos da obra em questão;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19.1.6. O fiscal responsável deverá realizar a medição “in loco” dos serviços finalizados e entregues.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19.1.8. Será permitida apenas 01 (uma) medição por mês.</w:t>
      </w:r>
      <w:bookmarkStart w:id="9" w:name="_Hlk199318060"/>
      <w:bookmarkEnd w:id="9"/>
    </w:p>
    <w:p>
      <w:pPr>
        <w:pStyle w:val="Corpodotexto"/>
        <w:spacing w:before="113" w:after="0"/>
        <w:jc w:val="both"/>
        <w:rPr>
          <w:rFonts w:ascii="Arial" w:hAnsi="Arial"/>
          <w:b/>
          <w:b/>
          <w:bCs/>
          <w:sz w:val="22"/>
          <w:szCs w:val="22"/>
        </w:rPr>
      </w:pPr>
      <w:r>
        <w:rPr>
          <w:rFonts w:ascii="Arial" w:hAnsi="Arial"/>
          <w:b/>
          <w:bCs/>
          <w:sz w:val="22"/>
          <w:szCs w:val="22"/>
        </w:rPr>
      </w:r>
    </w:p>
    <w:p>
      <w:pPr>
        <w:pStyle w:val="Corpodotexto"/>
        <w:spacing w:before="113" w:after="0"/>
        <w:jc w:val="both"/>
        <w:rPr/>
      </w:pPr>
      <w:r>
        <w:rPr>
          <w:rFonts w:ascii="Arial" w:hAnsi="Arial"/>
          <w:b/>
          <w:bCs/>
          <w:sz w:val="22"/>
          <w:szCs w:val="22"/>
        </w:rPr>
        <w:t>19.2. DO PAGAMENTO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sz w:val="22"/>
          <w:szCs w:val="22"/>
        </w:rPr>
        <w:t>19.2</w:t>
      </w:r>
      <w:r>
        <w:rPr>
          <w:rFonts w:ascii="Arial" w:hAnsi="Arial"/>
          <w:spacing w:val="-8"/>
          <w:sz w:val="22"/>
          <w:szCs w:val="22"/>
        </w:rPr>
        <w:t>.1.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
          <w:b/>
          <w:spacing w:val="-8"/>
          <w:sz w:val="22"/>
          <w:szCs w:val="22"/>
        </w:rPr>
      </w:pPr>
      <w:r>
        <w:rPr>
          <w:rFonts w:ascii="Arial" w:hAnsi="Arial"/>
          <w:b/>
          <w:spacing w:val="-8"/>
          <w:sz w:val="22"/>
          <w:szCs w:val="22"/>
        </w:rPr>
      </w:r>
    </w:p>
    <w:p>
      <w:pPr>
        <w:pStyle w:val="Corpodotexto"/>
        <w:jc w:val="both"/>
        <w:rPr/>
      </w:pPr>
      <w:r>
        <w:rPr>
          <w:rFonts w:ascii="Arial" w:hAnsi="Arial"/>
          <w:spacing w:val="-8"/>
          <w:sz w:val="22"/>
          <w:szCs w:val="22"/>
        </w:rPr>
        <w:t xml:space="preserve">19.2.2.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19">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pPr>
      <w:r>
        <w:rPr>
          <w:rFonts w:ascii="Arial" w:hAnsi="Arial"/>
        </w:rPr>
        <w:t>19.2.3. A Nota Fiscal ou Fatura deverá ser entregue na própria Secretaria Municipal de Obras e Infraestrutura e obrigatoriamente acompanhada da Regularidade Fiscal da Contratada.</w:t>
      </w:r>
    </w:p>
    <w:p>
      <w:pPr>
        <w:pStyle w:val="ListParagraph"/>
        <w:tabs>
          <w:tab w:val="clear" w:pos="720"/>
          <w:tab w:val="left" w:pos="673" w:leader="none"/>
        </w:tabs>
        <w:ind w:left="0" w:hanging="0"/>
        <w:rPr>
          <w:rFonts w:ascii="Arial" w:hAnsi="Arial"/>
        </w:rPr>
      </w:pPr>
      <w:r>
        <w:rPr>
          <w:rFonts w:ascii="Arial" w:hAnsi="Arial"/>
        </w:rPr>
      </w:r>
    </w:p>
    <w:p>
      <w:pPr>
        <w:pStyle w:val="ListParagraph"/>
        <w:tabs>
          <w:tab w:val="clear" w:pos="720"/>
          <w:tab w:val="left" w:pos="673" w:leader="none"/>
        </w:tabs>
        <w:ind w:left="0" w:hanging="0"/>
        <w:rPr/>
      </w:pPr>
      <w:r>
        <w:rPr>
          <w:rFonts w:ascii="Arial" w:hAnsi="Arial"/>
        </w:rPr>
        <w:t>19.2.4.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hanging="0"/>
        <w:rPr>
          <w:rFonts w:ascii="Arial" w:hAnsi="Arial"/>
        </w:rPr>
      </w:pPr>
      <w:r>
        <w:rPr>
          <w:rFonts w:ascii="Arial" w:hAnsi="Arial"/>
        </w:rPr>
      </w:r>
    </w:p>
    <w:p>
      <w:pPr>
        <w:pStyle w:val="ListParagraph"/>
        <w:tabs>
          <w:tab w:val="clear" w:pos="720"/>
          <w:tab w:val="left" w:pos="673" w:leader="none"/>
        </w:tabs>
        <w:ind w:left="0" w:hanging="0"/>
        <w:rPr/>
      </w:pPr>
      <w:r>
        <w:rPr>
          <w:rFonts w:ascii="Arial" w:hAnsi="Arial"/>
        </w:rPr>
        <w:t>19.2.5.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hanging="0"/>
        <w:rPr>
          <w:rFonts w:ascii="Arial" w:hAnsi="Arial"/>
        </w:rPr>
      </w:pPr>
      <w:r>
        <w:rPr>
          <w:rFonts w:ascii="Arial" w:hAnsi="Arial"/>
        </w:rPr>
      </w:r>
    </w:p>
    <w:p>
      <w:pPr>
        <w:pStyle w:val="ListParagraph"/>
        <w:tabs>
          <w:tab w:val="clear" w:pos="720"/>
          <w:tab w:val="left" w:pos="709" w:leader="none"/>
        </w:tabs>
        <w:ind w:left="0" w:hanging="0"/>
        <w:rPr/>
      </w:pPr>
      <w:r>
        <w:rPr>
          <w:rFonts w:ascii="Arial" w:hAnsi="Arial"/>
        </w:rPr>
        <w:t>19.2.6. Os pagamentos serão efetuados mediante apresentação dos seguintes documentos: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a) Nota fiscal dos serviços;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61" w:leader="none"/>
        </w:tabs>
        <w:ind w:left="0" w:hanging="0"/>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d) Certidão Negativa de Débito junto à Fazenda Pública Municipal de Aracruz/ES;</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e) Anotação de responsabilidade técnica (CREA) – 1ª Fatura;</w:t>
      </w:r>
    </w:p>
    <w:p>
      <w:pPr>
        <w:pStyle w:val="ListParagraph"/>
        <w:tabs>
          <w:tab w:val="clear" w:pos="720"/>
          <w:tab w:val="left" w:pos="320" w:leader="none"/>
        </w:tabs>
        <w:ind w:left="0" w:hanging="0"/>
        <w:rPr>
          <w:rFonts w:ascii="Arial" w:hAnsi="Arial"/>
        </w:rPr>
      </w:pPr>
      <w:r>
        <w:rPr>
          <w:rFonts w:ascii="Arial" w:hAnsi="Arial"/>
        </w:rPr>
      </w:r>
    </w:p>
    <w:p>
      <w:pPr>
        <w:pStyle w:val="ListParagraph"/>
        <w:tabs>
          <w:tab w:val="clear" w:pos="720"/>
          <w:tab w:val="left" w:pos="320" w:leader="none"/>
        </w:tabs>
        <w:ind w:left="0" w:hanging="0"/>
        <w:rPr/>
      </w:pPr>
      <w:r>
        <w:rPr>
          <w:rFonts w:ascii="Arial" w:hAnsi="Arial"/>
        </w:rPr>
        <w:t>f) Matrícula da obra junto ao INSS – 1ª Fatura;</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h) Prova de pagamento de pessoal referente aos serviços prestados (período);</w:t>
      </w:r>
    </w:p>
    <w:p>
      <w:pPr>
        <w:pStyle w:val="ListParagraph"/>
        <w:tabs>
          <w:tab w:val="clear" w:pos="720"/>
          <w:tab w:val="left" w:pos="308" w:leader="none"/>
        </w:tabs>
        <w:ind w:left="0" w:hanging="0"/>
        <w:rPr>
          <w:rFonts w:ascii="Arial" w:hAnsi="Arial"/>
        </w:rPr>
      </w:pPr>
      <w:r>
        <w:rPr>
          <w:rFonts w:ascii="Arial" w:hAnsi="Arial"/>
        </w:rPr>
      </w:r>
    </w:p>
    <w:p>
      <w:pPr>
        <w:pStyle w:val="ListParagraph"/>
        <w:tabs>
          <w:tab w:val="clear" w:pos="720"/>
          <w:tab w:val="left" w:pos="308" w:leader="none"/>
        </w:tabs>
        <w:ind w:left="0" w:hanging="0"/>
        <w:rPr/>
      </w:pPr>
      <w:r>
        <w:rPr>
          <w:rFonts w:ascii="Arial" w:hAnsi="Arial"/>
        </w:rPr>
        <w:t>i) GFIP - Guia de Recolhimento do FGTS e de Informações à Previdência Social;</w:t>
      </w:r>
    </w:p>
    <w:p>
      <w:pPr>
        <w:pStyle w:val="ListParagraph"/>
        <w:tabs>
          <w:tab w:val="clear" w:pos="720"/>
          <w:tab w:val="left" w:pos="310" w:leader="none"/>
        </w:tabs>
        <w:ind w:left="0" w:hanging="0"/>
        <w:rPr>
          <w:rFonts w:ascii="Arial" w:hAnsi="Arial"/>
        </w:rPr>
      </w:pPr>
      <w:r>
        <w:rPr>
          <w:rFonts w:ascii="Arial" w:hAnsi="Arial"/>
        </w:rPr>
      </w:r>
    </w:p>
    <w:p>
      <w:pPr>
        <w:pStyle w:val="ListParagraph"/>
        <w:tabs>
          <w:tab w:val="clear" w:pos="720"/>
          <w:tab w:val="left" w:pos="310" w:leader="none"/>
        </w:tabs>
        <w:ind w:left="0" w:hanging="0"/>
        <w:rPr/>
      </w:pPr>
      <w:r>
        <w:rPr>
          <w:rFonts w:ascii="Arial" w:hAnsi="Arial"/>
        </w:rPr>
        <w:t>j) Certidão Negativa de Débito do INSS e FGTS, todas as faturas;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pPr>
      <w:r>
        <w:rPr>
          <w:rFonts w:ascii="Arial" w:hAnsi="Arial"/>
        </w:rPr>
        <w:t>k) Prova de inexistência de débitos inadimplidos perante a Justiça do Trabalho;</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pPr>
      <w:r>
        <w:rPr>
          <w:rFonts w:ascii="Arial" w:hAnsi="Arial"/>
        </w:rPr>
        <w:t>l) Termo de recebimento provisório, última fatura.</w:t>
      </w:r>
    </w:p>
    <w:p>
      <w:pPr>
        <w:pStyle w:val="ListParagraph"/>
        <w:tabs>
          <w:tab w:val="clear" w:pos="720"/>
          <w:tab w:val="left" w:pos="365" w:leader="none"/>
        </w:tabs>
        <w:ind w:left="0" w:hanging="0"/>
        <w:rPr>
          <w:rFonts w:ascii="Arial" w:hAnsi="Arial"/>
        </w:rPr>
      </w:pPr>
      <w:r>
        <w:rPr>
          <w:rFonts w:ascii="Arial" w:hAnsi="Arial"/>
        </w:rPr>
      </w:r>
    </w:p>
    <w:p>
      <w:pPr>
        <w:pStyle w:val="Ttulo1"/>
        <w:tabs>
          <w:tab w:val="clear" w:pos="720"/>
          <w:tab w:val="left" w:pos="474" w:leader="none"/>
        </w:tabs>
        <w:ind w:left="0" w:hanging="0"/>
        <w:jc w:val="both"/>
        <w:rPr/>
      </w:pPr>
      <w:r>
        <w:rPr>
          <w:rFonts w:eastAsia="Arial MT" w:cs="Arial MT"/>
          <w:b w:val="false"/>
          <w:bCs w:val="false"/>
          <w:sz w:val="22"/>
          <w:szCs w:val="22"/>
        </w:rPr>
        <w:t>19.2.7. Não será permitido pagamento antecipado, parcial ou total, relativo a parcelas contratuais vinculadas à execução de obras ou à prestação de serviços.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19.2.8.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bookmarkStart w:id="10" w:name="_Hlk199318098"/>
      <w:bookmarkStart w:id="11" w:name="_Hlk199321108"/>
      <w:bookmarkEnd w:id="10"/>
      <w:bookmarkEnd w:id="11"/>
      <w:r>
        <w:rPr>
          <w:rFonts w:eastAsia="Arial MT" w:cs="Arial MT"/>
          <w:b w:val="false"/>
          <w:bCs w:val="false"/>
          <w:sz w:val="22"/>
          <w:szCs w:val="22"/>
        </w:rPr>
        <w:t>19.2.9.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bookmarkStart w:id="12" w:name="_Hlk1993211081"/>
      <w:bookmarkStart w:id="13" w:name="_Hlk1993180981"/>
      <w:bookmarkEnd w:id="12"/>
      <w:bookmarkEnd w:id="13"/>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spacing w:before="113" w:after="0"/>
        <w:ind w:left="0" w:hanging="0"/>
        <w:jc w:val="both"/>
        <w:rPr/>
      </w:pPr>
      <w:r>
        <w:rPr>
          <w:rFonts w:eastAsia="Arial MT" w:cs="Arial MT"/>
          <w:sz w:val="22"/>
          <w:szCs w:val="22"/>
        </w:rPr>
        <w:t>19.3. DO REAJUSTE</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19.3.1. Os preços propostos pela contratada poderão ser reajustados, após o transcurso de prazo de 01 (um) ano da data do orçamento estimado, de acordo com as Leis Federais n.º 14.133/2021 e 10.192/2001,  através do Índice de Reajustamento de Obras Rodoviárias - DNIT - Fundação Getúlio Vargas, desde que comprovado o seu desequilíbrio econômico-financeiro, com base nos preços referenciais, por meio da fórmula seguinte</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sz w:val="22"/>
          <w:szCs w:val="22"/>
        </w:rPr>
        <w:drawing>
          <wp:anchor behindDoc="0" distT="0" distB="0" distL="0" distR="0" simplePos="0" locked="0" layoutInCell="0" allowOverlap="1" relativeHeight="1864">
            <wp:simplePos x="0" y="0"/>
            <wp:positionH relativeFrom="column">
              <wp:posOffset>2467610</wp:posOffset>
            </wp:positionH>
            <wp:positionV relativeFrom="paragraph">
              <wp:posOffset>635</wp:posOffset>
            </wp:positionV>
            <wp:extent cx="1066800" cy="552450"/>
            <wp:effectExtent l="0" t="0" r="0" b="0"/>
            <wp:wrapSquare wrapText="largest"/>
            <wp:docPr id="1" name="Figura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1" descr=""/>
                    <pic:cNvPicPr>
                      <a:picLocks noChangeAspect="1" noChangeArrowheads="1"/>
                    </pic:cNvPicPr>
                  </pic:nvPicPr>
                  <pic:blipFill>
                    <a:blip r:embed="rId20"/>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Onde:</w:t>
      </w:r>
    </w:p>
    <w:p>
      <w:pPr>
        <w:pStyle w:val="Ttulo1"/>
        <w:tabs>
          <w:tab w:val="clear" w:pos="720"/>
          <w:tab w:val="left" w:pos="474" w:leader="none"/>
        </w:tabs>
        <w:ind w:left="0" w:hanging="0"/>
        <w:jc w:val="both"/>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pPr>
      <w:r>
        <w:rPr>
          <w:rFonts w:eastAsia="Arial MT" w:cs="Arial MT"/>
          <w:b w:val="false"/>
          <w:bCs w:val="false"/>
          <w:sz w:val="22"/>
          <w:szCs w:val="22"/>
        </w:rPr>
        <w:t>Io =  Índice de Reajustamento de Obras Rodoviárias - DNIT - Fundação Getúlio Vargas, relativo ao mês anterior a data do orçamento estimado;</w:t>
      </w:r>
    </w:p>
    <w:p>
      <w:pPr>
        <w:pStyle w:val="Ttulo1"/>
        <w:tabs>
          <w:tab w:val="clear" w:pos="720"/>
          <w:tab w:val="left" w:pos="474" w:leader="none"/>
        </w:tabs>
        <w:ind w:left="0" w:hanging="0"/>
        <w:jc w:val="both"/>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19.3.2. Compete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pPr>
      <w:r>
        <w:rPr>
          <w:rFonts w:eastAsia="Arial MT" w:cs="Arial MT"/>
          <w:b w:val="false"/>
          <w:bCs w:val="false"/>
          <w:sz w:val="22"/>
          <w:szCs w:val="22"/>
        </w:rPr>
        <w:t>19.3.3.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19.3.4.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19.3.5.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sz w:val="22"/>
          <w:szCs w:val="22"/>
        </w:rPr>
      </w:pPr>
      <w:r>
        <w:rPr>
          <w:rFonts w:eastAsia="Arial MT" w:cs="Arial MT"/>
          <w:b w:val="false"/>
          <w:bCs w:val="false"/>
          <w:sz w:val="22"/>
          <w:szCs w:val="22"/>
        </w:rPr>
        <w:t>19.3.6.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Ttulo1"/>
        <w:tabs>
          <w:tab w:val="clear" w:pos="720"/>
          <w:tab w:val="left" w:pos="474" w:leader="none"/>
        </w:tabs>
        <w:ind w:left="0" w:hanging="0"/>
        <w:rPr>
          <w:color w:val="000009"/>
          <w:sz w:val="22"/>
          <w:szCs w:val="22"/>
        </w:rPr>
      </w:pPr>
      <w:r>
        <w:rPr>
          <w:color w:val="000009"/>
          <w:sz w:val="22"/>
          <w:szCs w:val="22"/>
        </w:rPr>
      </w:r>
    </w:p>
    <w:p>
      <w:pPr>
        <w:pStyle w:val="Ttulo1"/>
        <w:tabs>
          <w:tab w:val="clear" w:pos="720"/>
          <w:tab w:val="left" w:pos="474" w:leader="none"/>
        </w:tabs>
        <w:ind w:left="0" w:hanging="0"/>
        <w:rPr>
          <w:color w:val="000009"/>
          <w:sz w:val="22"/>
          <w:szCs w:val="22"/>
        </w:rPr>
      </w:pPr>
      <w:r>
        <w:rPr>
          <w:color w:val="000009"/>
          <w:sz w:val="22"/>
          <w:szCs w:val="22"/>
        </w:rPr>
      </w:r>
    </w:p>
    <w:p>
      <w:pPr>
        <w:pStyle w:val="Ttulo1"/>
        <w:tabs>
          <w:tab w:val="clear" w:pos="720"/>
          <w:tab w:val="left" w:pos="474" w:leader="none"/>
        </w:tabs>
        <w:ind w:left="0" w:hanging="0"/>
        <w:rPr/>
      </w:pPr>
      <w:r>
        <w:rPr>
          <w:color w:val="000009"/>
          <w:sz w:val="22"/>
          <w:szCs w:val="22"/>
        </w:rPr>
        <w:t>20. DA GARANTIA</w:t>
      </w:r>
      <w:r>
        <w:rPr>
          <w:color w:val="000009"/>
          <w:spacing w:val="-13"/>
          <w:sz w:val="22"/>
          <w:szCs w:val="22"/>
        </w:rPr>
        <w:t xml:space="preserve"> </w:t>
      </w:r>
    </w:p>
    <w:p>
      <w:pPr>
        <w:pStyle w:val="Ttulo1"/>
        <w:tabs>
          <w:tab w:val="clear" w:pos="720"/>
          <w:tab w:val="left" w:pos="474" w:leader="none"/>
        </w:tabs>
        <w:ind w:left="0" w:hanging="0"/>
        <w:rPr>
          <w:sz w:val="22"/>
          <w:szCs w:val="22"/>
        </w:rPr>
      </w:pPr>
      <w:r>
        <w:rPr>
          <w:sz w:val="22"/>
          <w:szCs w:val="22"/>
        </w:rPr>
      </w:r>
    </w:p>
    <w:p>
      <w:pPr>
        <w:pStyle w:val="Normal"/>
        <w:tabs>
          <w:tab w:val="clear" w:pos="720"/>
          <w:tab w:val="left" w:pos="673" w:leader="none"/>
        </w:tabs>
        <w:spacing w:before="1" w:after="0"/>
        <w:jc w:val="both"/>
        <w:rPr>
          <w:rFonts w:ascii="Arial" w:hAnsi="Arial"/>
        </w:rPr>
      </w:pPr>
      <w:r>
        <w:rPr>
          <w:rFonts w:ascii="Arial" w:hAnsi="Arial"/>
          <w:color w:val="000009"/>
        </w:rPr>
        <w:t xml:space="preserve">20.1.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 </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rPr>
      </w:pPr>
      <w:r>
        <w:rPr>
          <w:rFonts w:ascii="Arial" w:hAnsi="Arial"/>
          <w:color w:val="000009"/>
        </w:rPr>
        <w:t>20.1.1. CAUÇÃO EM DINHEIRO OU TÍTULOS DA DÍVIDA PÚBLICA, conforme inciso I do § 1º do art. 96 da Lei 14.133/2021, com as alterações que lhe sucederam.</w:t>
      </w:r>
      <w:bookmarkStart w:id="14" w:name="_Hlk199318270"/>
      <w:bookmarkEnd w:id="14"/>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20.1.2.1. Cópia autenticada do estatuto social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20.1.2.2. Cópia autenticada da assembleia que elegeu a última diretoria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20.1.2.3. Cópia autenticada do instrumento de procuração, em se tratando de procurador do banco;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20.1.2.4. Reconhecimento de firmas das assinaturas constantes da carta de fiança.</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rPr>
      </w:pPr>
      <w:r>
        <w:rPr>
          <w:rFonts w:ascii="Arial" w:hAnsi="Arial"/>
          <w:color w:val="000009"/>
        </w:rPr>
        <w:t>20.1.3.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spacing w:before="1" w:after="0"/>
        <w:jc w:val="both"/>
        <w:rPr>
          <w:rFonts w:ascii="Arial" w:hAnsi="Arial"/>
          <w:color w:val="000009"/>
        </w:rPr>
      </w:pPr>
      <w:r>
        <w:rPr>
          <w:rFonts w:ascii="Arial" w:hAnsi="Arial"/>
          <w:color w:val="000009"/>
        </w:rPr>
      </w:r>
    </w:p>
    <w:p>
      <w:pPr>
        <w:pStyle w:val="Normal"/>
        <w:tabs>
          <w:tab w:val="clear" w:pos="720"/>
          <w:tab w:val="left" w:pos="673" w:leader="none"/>
        </w:tabs>
        <w:spacing w:before="1" w:after="0"/>
        <w:jc w:val="both"/>
        <w:rPr>
          <w:rFonts w:ascii="Arial" w:hAnsi="Arial"/>
        </w:rPr>
      </w:pPr>
      <w:r>
        <w:rPr>
          <w:rFonts w:ascii="Arial" w:hAnsi="Arial"/>
          <w:color w:val="000009"/>
        </w:rPr>
        <w:t>20.1.3.1. A apólice terá sua validade confirmada pelo segurado por meio da consulta ao site https://www2.susep.gov.br/safe/menumercado/regapolices/pesquisa.asp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I. caso a seguradora execute e conclua o objeto do contrato, estará isenta da obrigação de pagar a importância segurada indicada na apólice;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 xml:space="preserve">II. caso a seguradora não assuma a execução do contrato, pagará a integralidade da importância segurada indicada na apólice. </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20.2.1. A garantia de execução será liberada quando da assinatura do TERMO DE RECEBIMENTO DEFINITIVO dos serviços.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spacing w:before="1" w:after="0"/>
        <w:jc w:val="both"/>
        <w:rPr>
          <w:rFonts w:ascii="Arial" w:hAnsi="Arial"/>
        </w:rPr>
      </w:pPr>
      <w:r>
        <w:rPr>
          <w:rFonts w:ascii="Arial" w:hAnsi="Arial"/>
        </w:rPr>
      </w:r>
    </w:p>
    <w:p>
      <w:pPr>
        <w:pStyle w:val="Normal"/>
        <w:tabs>
          <w:tab w:val="clear" w:pos="720"/>
          <w:tab w:val="left" w:pos="673" w:leader="none"/>
        </w:tabs>
        <w:spacing w:before="1" w:after="0"/>
        <w:jc w:val="both"/>
        <w:rPr>
          <w:rFonts w:ascii="Arial" w:hAnsi="Arial"/>
        </w:rPr>
      </w:pPr>
      <w:r>
        <w:rPr>
          <w:rFonts w:ascii="Arial" w:hAnsi="Arial"/>
          <w:color w:val="000009"/>
        </w:rPr>
        <w:t>20.6.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bookmarkStart w:id="15" w:name="_Hlk199318294"/>
      <w:bookmarkStart w:id="16" w:name="_Hlk199321189"/>
      <w:bookmarkEnd w:id="15"/>
      <w:bookmarkEnd w:id="16"/>
    </w:p>
    <w:p>
      <w:pPr>
        <w:pStyle w:val="Normal"/>
        <w:tabs>
          <w:tab w:val="clear" w:pos="720"/>
          <w:tab w:val="left" w:pos="682" w:leader="none"/>
        </w:tabs>
        <w:jc w:val="both"/>
        <w:rPr>
          <w:rFonts w:ascii="Arial" w:hAnsi="Arial"/>
        </w:rPr>
      </w:pPr>
      <w:r>
        <w:rPr>
          <w:rFonts w:eastAsia="Arial" w:cs="Arial" w:ascii="Arial" w:hAnsi="Arial"/>
          <w:b/>
          <w:bCs/>
          <w:spacing w:val="-2"/>
        </w:rPr>
        <w:t>21.  DAS ESPECIFICAÇÕES TÉCNICAS, DAS CONDIÇÕES DE REALIZAÇÃO DOS SERVIÇOS E DOS CRITÉRIOS DE SUSTENTABILIDADE DO PROJETO E DA EXECUÇÃO DA OBRA</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ind w:right="687" w:hanging="0"/>
        <w:jc w:val="both"/>
        <w:rPr>
          <w:rFonts w:ascii="Arial" w:hAnsi="Arial" w:eastAsia="Arial" w:cs="Arial"/>
          <w:b/>
          <w:b/>
          <w:bCs/>
          <w:spacing w:val="-2"/>
        </w:rPr>
      </w:pPr>
      <w:r>
        <w:rPr>
          <w:rFonts w:eastAsia="Arial" w:cs="Arial" w:ascii="Arial" w:hAnsi="Arial"/>
          <w:b/>
          <w:bCs/>
          <w:spacing w:val="-2"/>
        </w:rPr>
        <w:t>21.1. ESPECIFICAÇÕES TÉCNICAS</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21.1.1. A Contratada se obrigará a executar as obras, empregando exclusivamente materiais de primeira qualidade e obedecendo, rigorosamente, aos Levantamento Topográfico, Projeto Geométrico, Terraplanagem, Drenagem, Pavimentação, Sinalização, Obras Complementares e Iluminação Pública, bem como às Normas e Especificações Técnicas Vigentes (tais quais normas da ABNT – Associação Brasileira de Normas Técnicas, DNIT – Departamento Nacional de Infraestrutura de Transportes e orientações técnicas do IBRAOP – Instituto Brasileiro de Auditoria de Obras Públicas). </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21.1.2. Os procedimentos executivos detalhados, identificando os tipos de serviços a serem executados e os materiais e equipamentos a incorporar à obra, bem como seus quantitativos e custos unitários, e demais especificações técnicas, encontram-se nos VOLUME 1 – RELATÓRIO DE PROJETO, VOLUME 2 – PROJETO EXECUTIVO, VOLUME 3 – NOTAS DE SERVIÇO e VOLUME 4 – ORÇAMENTO. </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21.1.3. O material técnico disponibilizado foi desenvolvido de forma a fornecer visão global da obra/serviços, identificando todos seus elementos constitutivos com clareza, apresentando soluções técnicas detalhadas, de forma a minimizar a necessidade de reformulação ou de variantes durante sua execução, contudo todo projeto é passivo de interferências, não se descartando a necessidade de compatibilizações dos mesmos no momento das realizações dos serviços. </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21.1.4. Deverão ser analisados para composição dos respectivos custos (produtividade x operacionalidade x equipamentos de produção), considerando as técnicas executivas propostas e a equipe para execução dos serviços. </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ind w:right="687" w:hanging="0"/>
        <w:jc w:val="both"/>
        <w:rPr>
          <w:rFonts w:ascii="Arial" w:hAnsi="Arial" w:eastAsia="Arial" w:cs="Arial"/>
          <w:b/>
          <w:b/>
          <w:bCs/>
          <w:spacing w:val="-2"/>
        </w:rPr>
      </w:pPr>
      <w:r>
        <w:rPr>
          <w:rFonts w:eastAsia="Arial" w:cs="Arial" w:ascii="Arial" w:hAnsi="Arial"/>
          <w:b/>
          <w:bCs/>
          <w:spacing w:val="-2"/>
        </w:rPr>
        <w:t>21.2.  REALIZAÇÃO DOS SERVIÇOS</w:t>
      </w:r>
    </w:p>
    <w:p>
      <w:pPr>
        <w:pStyle w:val="Normal"/>
        <w:tabs>
          <w:tab w:val="clear" w:pos="720"/>
          <w:tab w:val="left" w:pos="682" w:leader="none"/>
        </w:tabs>
        <w:ind w:right="687" w:hanging="0"/>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21.2.2. Poderá a SEMOB, a seu critério, exigir a demolição e reconstrução de qualquer parte dos serviços, caso estes tenham sido executados com imperícia técnica ou em desacordo com o Projeto, Norma e Especificações Técnicas.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a) Data do serviço;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b) Dia da Semana;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c) Serviço Realizado;</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d) Pendências;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e) Justificativa das Pendências.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21.2.4. Este documento deverá estar assinado pelo Responsável Técnico pela execução dos serviços e, em concordância, pela fiscalização da obra.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21.2.5. O Diário de Obra ou Boletim de Ocorrência deverá conter espaço, para comentários/justificativas, pelo executor dos serviços e outro para a fiscalização da obra.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21.2.6. A Contratada será responsável pela vigilância no local da execução da obra.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21.2.8. Os entulhos, restos de materiais e outros equipamentos pertinentes à execução dos serviços deverão ser totalmente removidos no término dos mesmos, e gerenciados em conformidade com o disposto no art. 10 da Resolução CONAMA 307/2002.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21.2.9. Os materiais empregados na obra, a serem fornecidos pela CONTRATADA, serão previamente submetidos à fiscalização para exame e aprovação e deverão ser comprovadamente de boa qualidade.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21.2.13. Máquinas e equipamentos deverão estar devidamente identificados.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21.2.14. Os serviços para execução da obra, poderão a critério da SEMED,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 xml:space="preserve">21.2.21. Os projetos, as especificações, as composições, os cálculos, dentre outros, deverão </w:t>
      </w:r>
    </w:p>
    <w:p>
      <w:pPr>
        <w:pStyle w:val="Normal"/>
        <w:tabs>
          <w:tab w:val="clear" w:pos="720"/>
          <w:tab w:val="left" w:pos="682" w:leader="none"/>
        </w:tabs>
        <w:jc w:val="both"/>
        <w:rPr>
          <w:rFonts w:ascii="Arial" w:hAnsi="Arial"/>
        </w:rPr>
      </w:pPr>
      <w:r>
        <w:rPr>
          <w:rFonts w:eastAsia="Arial" w:cs="Arial" w:ascii="Arial" w:hAnsi="Arial"/>
          <w:spacing w:val="-2"/>
        </w:rPr>
        <w:t xml:space="preserve">ser examinados com o máximo cuidado pela CONTRATADA, e em todos os casos omissos ou suscetíveis à dúvida, deverá a CONTRATADA recorrer à FISCALIZAÇÃO para melhores esclarecimentos ou orientação, sendo as decisões finais comunicadas sempre por escrito.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21.2.25. Os serviços, materiais e transportes necessários à correção de anormalidades, apresentados dentro do prazo de garantia, correrão por conta da CONTRATADA.</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eastAsia="Arial" w:cs="Arial" w:ascii="Arial" w:hAnsi="Arial"/>
          <w:spacing w:val="-2"/>
        </w:rPr>
        <w:t>21.2.26.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Normal"/>
        <w:tabs>
          <w:tab w:val="clear" w:pos="720"/>
          <w:tab w:val="left" w:pos="682" w:leader="none"/>
        </w:tabs>
        <w:ind w:right="687" w:hanging="0"/>
        <w:jc w:val="both"/>
        <w:rPr>
          <w:rFonts w:ascii="Arial" w:hAnsi="Arial"/>
        </w:rPr>
      </w:pPr>
      <w:r>
        <w:rPr>
          <w:rFonts w:ascii="Arial" w:hAnsi="Arial"/>
        </w:rPr>
      </w:r>
    </w:p>
    <w:p>
      <w:pPr>
        <w:pStyle w:val="Ttulo1"/>
        <w:ind w:left="0" w:hanging="0"/>
        <w:rPr/>
      </w:pPr>
      <w:r>
        <w:rPr>
          <w:spacing w:val="-4"/>
          <w:sz w:val="22"/>
          <w:szCs w:val="22"/>
        </w:rPr>
        <w:t>21.3. CRITÉRIOS DE SUSTENTABILIDADE DO PROJETO E DA EXECUÇÃO DA OBRA</w:t>
      </w:r>
    </w:p>
    <w:p>
      <w:pPr>
        <w:pStyle w:val="Ttulo1"/>
        <w:ind w:left="0" w:hanging="0"/>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21.3.1. Com vistas ao atendimento ao princípio do desenvolvimento nacional sustentável, foram adotados nos projetos elaborados e deverão ser observados, na execução da obra, os seguintes critérios de sustentabilidade: </w:t>
      </w:r>
    </w:p>
    <w:p>
      <w:pPr>
        <w:pStyle w:val="Ttulo1"/>
        <w:ind w:left="0" w:hanging="0"/>
        <w:rPr>
          <w:spacing w:val="-4"/>
          <w:sz w:val="22"/>
          <w:szCs w:val="22"/>
        </w:rPr>
      </w:pPr>
      <w:r>
        <w:rPr>
          <w:spacing w:val="-4"/>
          <w:sz w:val="22"/>
          <w:szCs w:val="22"/>
        </w:rPr>
      </w:r>
    </w:p>
    <w:p>
      <w:pPr>
        <w:pStyle w:val="Ttulo1"/>
        <w:ind w:left="0" w:hanging="0"/>
        <w:rPr/>
      </w:pPr>
      <w:r>
        <w:rPr>
          <w:spacing w:val="-4"/>
          <w:sz w:val="22"/>
          <w:szCs w:val="22"/>
        </w:rPr>
        <w:t>21.3.1.1. Materiais, técnicas construtivas e insumos</w:t>
      </w:r>
    </w:p>
    <w:p>
      <w:pPr>
        <w:pStyle w:val="Ttulo1"/>
        <w:ind w:left="0" w:hanging="0"/>
        <w:rPr>
          <w:spacing w:val="-4"/>
          <w:sz w:val="22"/>
          <w:szCs w:val="22"/>
        </w:rPr>
      </w:pPr>
      <w:r>
        <w:rPr>
          <w:spacing w:val="-4"/>
          <w:sz w:val="22"/>
          <w:szCs w:val="22"/>
        </w:rPr>
      </w:r>
    </w:p>
    <w:p>
      <w:pPr>
        <w:pStyle w:val="Ttulo1"/>
        <w:ind w:left="0" w:hanging="0"/>
        <w:rPr>
          <w:b w:val="false"/>
          <w:b w:val="false"/>
          <w:bCs w:val="false"/>
        </w:rPr>
      </w:pPr>
      <w:r>
        <w:rPr>
          <w:b w:val="false"/>
          <w:bCs w:val="false"/>
          <w:spacing w:val="-4"/>
          <w:sz w:val="22"/>
          <w:szCs w:val="22"/>
        </w:rPr>
        <w:t xml:space="preserve">a) Preferência por materiais de origem ambientalmente regular, provenientes de fornecedores que cumpram normas ambientais e de segurança do trabalho. </w:t>
      </w:r>
    </w:p>
    <w:p>
      <w:pPr>
        <w:pStyle w:val="Ttulo1"/>
        <w:ind w:left="0" w:hanging="0"/>
        <w:rPr>
          <w:spacing w:val="-4"/>
          <w:sz w:val="22"/>
          <w:szCs w:val="22"/>
        </w:rPr>
      </w:pPr>
      <w:r>
        <w:rPr>
          <w:spacing w:val="-4"/>
          <w:sz w:val="22"/>
          <w:szCs w:val="22"/>
        </w:rPr>
      </w:r>
    </w:p>
    <w:p>
      <w:pPr>
        <w:pStyle w:val="Ttulo1"/>
        <w:ind w:left="0" w:hanging="0"/>
        <w:rPr>
          <w:b w:val="false"/>
          <w:b w:val="false"/>
          <w:bCs w:val="false"/>
        </w:rPr>
      </w:pPr>
      <w:r>
        <w:rPr>
          <w:b w:val="false"/>
          <w:bCs w:val="false"/>
          <w:spacing w:val="-4"/>
          <w:sz w:val="22"/>
          <w:szCs w:val="22"/>
        </w:rPr>
        <w:t xml:space="preserve">b) Estímulo à utilização de materiais reciclados, recicláveis ou de baixo impacto ambiental, como tintas à base de água e madeiras certificadas. </w:t>
      </w:r>
    </w:p>
    <w:p>
      <w:pPr>
        <w:pStyle w:val="Ttulo1"/>
        <w:ind w:left="0" w:hanging="0"/>
        <w:rPr>
          <w:spacing w:val="-4"/>
          <w:sz w:val="22"/>
          <w:szCs w:val="22"/>
        </w:rPr>
      </w:pPr>
      <w:r>
        <w:rPr>
          <w:spacing w:val="-4"/>
          <w:sz w:val="22"/>
          <w:szCs w:val="22"/>
        </w:rPr>
      </w:r>
    </w:p>
    <w:p>
      <w:pPr>
        <w:pStyle w:val="Ttulo1"/>
        <w:ind w:left="0" w:hanging="0"/>
        <w:rPr/>
      </w:pPr>
      <w:r>
        <w:rPr>
          <w:spacing w:val="-4"/>
          <w:sz w:val="22"/>
          <w:szCs w:val="22"/>
        </w:rPr>
        <w:t xml:space="preserve">21.3.1.2. Eficiência energética </w:t>
      </w:r>
    </w:p>
    <w:p>
      <w:pPr>
        <w:pStyle w:val="Ttulo1"/>
        <w:ind w:left="0" w:hanging="0"/>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Projeto de Iluminação Pública visando ao baixo consumo de energia, incluindo iluminação eficiente do tipo LED.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21.3.1.3. Gestão de resíduos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Implementação de plano de gerenciamento de resíduos da construção civil, em conformidade com a Resolução CONAMA nº 307.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Garantia de destinação final ambientalmente adequada dos resíduos sólidos, privilegiando reciclagem e reaproveitamento.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c) Previsão de logística reversa para materiais e embalagens, conforme legislação específica.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21.3.1.4. Impactos ambientais e licenciamento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Observância às exigências de licenciamento ambiental (quando aplicável), incluindo medidas de mitigação e compensação ambiental.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Minimização de impactos de vizinhança (ruídos, poeira, tráfego) durante a execução da obra.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21.3.1.5. Inclusão social e geração de trabalho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Preferência pela utilização de mão de obra local, contribuindo para a geração de emprego e renda no município e reduzindo deslocamentos de trabalhadores.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Garantia de condições de acessibilidade universal (NBR 9050) em todas as etapas do projeto e execução.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c) Atendimento às normas de saúde e segurança no trabalho, assegurando condições adequadas para todos os trabalhadores.</w:t>
      </w:r>
    </w:p>
    <w:p>
      <w:pPr>
        <w:pStyle w:val="Ttulo1"/>
        <w:ind w:left="0" w:hanging="0"/>
        <w:rPr>
          <w:spacing w:val="-4"/>
          <w:sz w:val="22"/>
          <w:szCs w:val="22"/>
        </w:rPr>
      </w:pPr>
      <w:r>
        <w:rPr>
          <w:spacing w:val="-4"/>
          <w:sz w:val="22"/>
          <w:szCs w:val="22"/>
        </w:rPr>
      </w:r>
    </w:p>
    <w:p>
      <w:pPr>
        <w:pStyle w:val="Ttulo1"/>
        <w:ind w:left="0" w:hanging="0"/>
        <w:jc w:val="both"/>
        <w:rPr/>
      </w:pPr>
      <w:r>
        <w:rPr>
          <w:spacing w:val="-4"/>
          <w:sz w:val="22"/>
          <w:szCs w:val="22"/>
        </w:rPr>
        <w:t xml:space="preserve">21.3.1.6. Aspectos socioeconômicos e ciclo de vida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Avaliação do custo do ciclo de vida da obra (construção, operação, manutenção e desmobilização), privilegiando soluções com maior vida útil e menor custo de manutenção.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Priorização de tecnologias inovadoras que reduzam a pressão sobre recursos naturais.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spacing w:val="-4"/>
          <w:sz w:val="22"/>
          <w:szCs w:val="22"/>
        </w:rPr>
        <w:t>21.3.1.7. Certificações e conformidade</w:t>
      </w:r>
      <w:r>
        <w:rPr>
          <w:b w:val="false"/>
          <w:bCs w:val="false"/>
          <w:spacing w:val="-4"/>
          <w:sz w:val="22"/>
          <w:szCs w:val="22"/>
        </w:rPr>
        <w:t xml:space="preserve"> </w:t>
      </w:r>
    </w:p>
    <w:p>
      <w:pPr>
        <w:pStyle w:val="Ttulo1"/>
        <w:ind w:left="0" w:hanging="0"/>
        <w:jc w:val="both"/>
        <w:rPr>
          <w:spacing w:val="-4"/>
          <w:sz w:val="22"/>
          <w:szCs w:val="22"/>
        </w:rPr>
      </w:pPr>
      <w:r>
        <w:rPr>
          <w:spacing w:val="-4"/>
          <w:sz w:val="22"/>
          <w:szCs w:val="22"/>
        </w:rPr>
      </w:r>
    </w:p>
    <w:p>
      <w:pPr>
        <w:pStyle w:val="Ttulo1"/>
        <w:tabs>
          <w:tab w:val="clear" w:pos="720"/>
          <w:tab w:val="left" w:pos="682" w:leader="none"/>
        </w:tabs>
        <w:ind w:left="0" w:hanging="0"/>
        <w:jc w:val="both"/>
        <w:rPr/>
      </w:pPr>
      <w:r>
        <w:rPr>
          <w:b w:val="false"/>
          <w:bCs w:val="false"/>
          <w:spacing w:val="-4"/>
          <w:sz w:val="22"/>
          <w:szCs w:val="22"/>
        </w:rPr>
        <w:t xml:space="preserve">a) Exigência de conformidade com normas técnicas da ABNT ou equivalentes (se couber).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ind w:right="687" w:hanging="0"/>
        <w:rPr>
          <w:rFonts w:ascii="Arial" w:hAnsi="Arial"/>
        </w:rPr>
      </w:pPr>
      <w:r>
        <w:rPr>
          <w:rFonts w:eastAsia="Arial" w:cs="Arial" w:ascii="Arial" w:hAnsi="Arial"/>
          <w:b/>
          <w:bCs/>
          <w:spacing w:val="-2"/>
        </w:rPr>
        <w:t>22. DAS OBRIGAÇÕES DAS PARTES</w:t>
      </w:r>
    </w:p>
    <w:p>
      <w:pPr>
        <w:pStyle w:val="ListParagraph"/>
        <w:tabs>
          <w:tab w:val="clear" w:pos="720"/>
          <w:tab w:val="left" w:pos="682" w:leader="none"/>
        </w:tabs>
        <w:ind w:left="142" w:right="687" w:hanging="0"/>
        <w:rPr>
          <w:rFonts w:ascii="Arial" w:hAnsi="Arial"/>
        </w:rPr>
      </w:pPr>
      <w:r>
        <w:rPr>
          <w:rFonts w:ascii="Arial" w:hAnsi="Arial"/>
        </w:rPr>
      </w:r>
    </w:p>
    <w:p>
      <w:pPr>
        <w:pStyle w:val="Ttulo1"/>
        <w:tabs>
          <w:tab w:val="clear" w:pos="720"/>
          <w:tab w:val="left" w:pos="476" w:leader="none"/>
        </w:tabs>
        <w:ind w:left="0" w:hanging="0"/>
        <w:jc w:val="both"/>
        <w:rPr/>
      </w:pPr>
      <w:r>
        <w:rPr>
          <w:spacing w:val="-2"/>
          <w:sz w:val="22"/>
          <w:szCs w:val="22"/>
        </w:rPr>
        <w:t xml:space="preserve">22.1. OBRIGAÇÕES DA CONTRATANTE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b w:val="false"/>
          <w:bCs w:val="false"/>
          <w:spacing w:val="-2"/>
          <w:sz w:val="22"/>
          <w:szCs w:val="22"/>
        </w:rPr>
        <w:t>22.1.1.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22.1.2. Atestar e receber os serviços efetivamente executados, de acordo com as cláusulas deste documento.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22.1.3. Fornecer por escrito as informações necessárias para o desenvolvimento dos serviços objeto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22.1.4.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22.1.5.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22.1.6. O CONTRATANTE solicitará aos técnicos da CONTRATADA a exibição de documentação de identificação pessoal, quando estes se apresentarem para realização dos serviços abrangidos nesta contratação.</w:t>
      </w:r>
    </w:p>
    <w:p>
      <w:pPr>
        <w:pStyle w:val="ListParagraph"/>
        <w:tabs>
          <w:tab w:val="clear" w:pos="720"/>
          <w:tab w:val="left" w:pos="682" w:leader="none"/>
        </w:tabs>
        <w:ind w:left="0" w:hanging="0"/>
        <w:rPr>
          <w:rFonts w:ascii="Arial" w:hAnsi="Arial"/>
          <w:b/>
          <w:b/>
          <w:bCs/>
        </w:rPr>
      </w:pPr>
      <w:r>
        <w:rPr>
          <w:rFonts w:ascii="Arial" w:hAnsi="Arial"/>
          <w:b/>
          <w:bCs/>
        </w:rPr>
      </w:r>
    </w:p>
    <w:p>
      <w:pPr>
        <w:pStyle w:val="ListParagraph"/>
        <w:tabs>
          <w:tab w:val="clear" w:pos="720"/>
          <w:tab w:val="left" w:pos="682" w:leader="none"/>
        </w:tabs>
        <w:spacing w:before="113" w:after="0"/>
        <w:ind w:left="0" w:hanging="0"/>
        <w:rPr/>
      </w:pPr>
      <w:r>
        <w:rPr>
          <w:rFonts w:ascii="Arial" w:hAnsi="Arial"/>
          <w:b/>
          <w:bCs/>
        </w:rPr>
        <w:t>22.2 OBRIGAÇÕES DA CONTRATADA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22.2.3. A CONTRATADA é responsável pelos encargos trabalhistas, previdenciários, fiscais ou comerciais da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22.2.5. Cabe à CONTRATADA permitir e facilitar a fiscalização, em qualquer dia e hora devendo prestar todos os informes e esclarecimentos solicitados.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hanging="0"/>
        <w:rPr>
          <w:rFonts w:ascii="Arial" w:hAnsi="Arial"/>
        </w:rPr>
      </w:pPr>
      <w:r>
        <w:rPr>
          <w:rFonts w:ascii="Arial" w:hAnsi="Arial"/>
        </w:rPr>
      </w:r>
    </w:p>
    <w:p>
      <w:pPr>
        <w:pStyle w:val="Normal"/>
        <w:tabs>
          <w:tab w:val="clear" w:pos="720"/>
          <w:tab w:val="left" w:pos="682" w:leader="none"/>
        </w:tabs>
        <w:jc w:val="both"/>
        <w:rPr>
          <w:rFonts w:ascii="Arial" w:hAnsi="Arial"/>
        </w:rPr>
      </w:pPr>
      <w:r>
        <w:rPr>
          <w:rFonts w:ascii="Arial" w:hAnsi="Arial"/>
        </w:rPr>
        <w:t>22.2.8.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22.2.11.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22.2.16. Comunicar ao Fiscal do contrato, no prazo de 24 (vinte e quatro) horas, qualquer ocorrência anormal ou acidente que se verifique no local dos serviços.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 xml:space="preserve">22.2.20.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22.2.24. Guardar sigilo sobre todas as informações obtidas em decorrência do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22.2.25. Cabe ainda à contratada atender aos procedimentos para Controle Ambiental na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22.2.28. Comprovar, sempre que solicitado pelo fiscal do contrato e no prazo por este fixado, o cumprimento das reservas de cargos mencionadas no inciso anterior, mediante apresentação da relação dos empregados que ocupam as respectivas vagas e demais documentos comprobatórios exigidos pela legislação aplicável.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t>22.2.29. Em caso de permissão de subcontratação, atender ao que dispõe o ITEM 23.</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rFonts w:ascii="Arial" w:hAnsi="Arial"/>
        </w:rPr>
      </w:pPr>
      <w:r>
        <w:rPr>
          <w:rFonts w:ascii="Arial" w:hAnsi="Arial"/>
        </w:rPr>
      </w:r>
    </w:p>
    <w:p>
      <w:pPr>
        <w:pStyle w:val="Ttulo1"/>
        <w:tabs>
          <w:tab w:val="clear" w:pos="720"/>
          <w:tab w:val="left" w:pos="476" w:leader="none"/>
        </w:tabs>
        <w:ind w:left="0" w:hanging="0"/>
        <w:jc w:val="both"/>
        <w:rPr/>
      </w:pPr>
      <w:r>
        <w:rPr>
          <w:spacing w:val="-2"/>
          <w:sz w:val="22"/>
          <w:szCs w:val="22"/>
        </w:rPr>
        <w:t>23. SUBCONTRATAÇÃO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23.1.</w:t>
      </w:r>
      <w:r>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23.2. O percentual de 5% foi definido como suficiente para permitir a contratação pontual de serviços acessórios ou de caráter especializado de menor expressão financeira, sem, contudo, transferir parcelas de alta complexidade ou relevância, que devem ser integralmente executadas pela empresa contratada.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23.3. Tal medida visa resguardar o interesse público, prevenindo riscos de descumprimento contratual, reduzindo a dependência de terceiros e garantindo que a empresa vencedora detenha efetiva capacidade técnica e operacional para executar diretamente a maior parte do objeto licitado.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23.4.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23.5. A CONTRATADA apresentará à Administração documentação que comprove a capacidade técnica do subcontratado, que será avaliada e juntada aos autos do processo correspondente.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23.6. A CONTRATADA não poderá ceder ou subcontratar os serviços objeto deste Termo, sem prévia autorização, por escrito, da Secretaria de Obras,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23.7. </w:t>
      </w:r>
      <w:bookmarkStart w:id="17" w:name="_Hlk199318372"/>
      <w:bookmarkEnd w:id="17"/>
      <w:r>
        <w:rPr>
          <w:b w:val="false"/>
          <w:bCs w:val="false"/>
          <w:spacing w:val="-2"/>
          <w:sz w:val="22"/>
          <w:szCs w:val="22"/>
        </w:rPr>
        <w:t xml:space="preserve">Vale ressaltar, que as subcontratadas deverão comprovar regularidade fiscal e previdenciária e preencher os mesmos requisitos de qualificação técnica exigidos no Edital.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23.8.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t xml:space="preserve">23.9. Não serão realizados pagamentos diretamente à subcontratadas. </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spacing w:val="-2"/>
          <w:sz w:val="22"/>
          <w:szCs w:val="22"/>
        </w:rPr>
        <w:t>24. RECEBIMENTO DOS SERVIÇOS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24.1. Os serviços serão recebidos provisoriamente através do responsável pelo seu acompanhamento e fiscalização, mediante Termo de Recebimento Provisório, assinado pelas partes em até 15 (quinze) dias úteis da comunicação escrita pelo Contratado.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24.2. A aceitação definitiva dos serviços contratados se efetuará, mediante Termo de Recebimento Definitivo assinado pelas partes, no prazo máximo de 90 (noventa) dias úteis após a emissão do Termo de Recebimento Provisório.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24.3. O objeto do contrato poderá ser rejeitado, no todo ou em parte, quando estiver em desacordo com o contrato (art. 140, §1º, da Lei 14.133/2021).</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24.4. A eventual aceitação dos serviços pela CONTRATANTE não eximirá a CONTRATADA de responsabilidade de quaisquer erros, imperfeições ou vícios que eventualmente venham a se verificar posteriormente, circunstância em que as despesas de conserto ou modificação correrão por conta exclusiva da CONTRATADA.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24.5.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spacing w:val="-2"/>
          <w:sz w:val="22"/>
          <w:szCs w:val="22"/>
        </w:rPr>
        <w:t>25. MODELO DE GESTÃO DO CONTRATO</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 A execução do contrato será objeto de acompanhamento, controle, fiscalização e avaliação por representante da Contratante para este fim especialmente designado.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25.5. O representante da CONTRATANTE deverá promover o registro das ocorrências verificadas, adotando providências necessárias ao fiel cumprimento das cláusulas contratuais, conforme o disposto no arts. 125 e 126 da Lei 14.133/2021.</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25.7. As atividades de gestão e fiscalização da execução do contrato competem ao gestor do contrato, auxiliado pela fiscalização técnica e administrativa, de acordo com as disposições do art. 15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25.8. Caberá ao GESTOR DO CONTRATO e, nos seus afastamentos e impedimentos legais, ao seu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coordenar as atividades relacionadas à fiscalização técnica e administrativa;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emitir decisão sobre todas as solicitações e reclamações relacionadas àexecução dos contratos, no prazo de até 1 (um) mês, contados da instrução dorequerimento, ressalvados os requerimentos manifestamente impertinentes, meramente protelatórios ou de nenhum interesse para a boa execução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acompanhar os registros realizados pelos fiscais do contrato ou dos terceiros contratados, de todas as ocorrências relacionadas à execução do contrato e as medidas adotadas, informando, se for o caso, à autoridade superior aquelas que ultrapassarem a sua competência;</w:t>
      </w:r>
    </w:p>
    <w:p>
      <w:pPr>
        <w:pStyle w:val="Ttulo1"/>
        <w:tabs>
          <w:tab w:val="clear" w:pos="720"/>
          <w:tab w:val="left" w:pos="476" w:leader="none"/>
        </w:tabs>
        <w:ind w:left="0" w:hanging="0"/>
        <w:jc w:val="both"/>
        <w:rPr>
          <w:sz w:val="22"/>
          <w:szCs w:val="22"/>
        </w:rPr>
      </w:pPr>
      <w:r>
        <w:rPr>
          <w:b w:val="false"/>
          <w:bCs w:val="false"/>
          <w:spacing w:val="-2"/>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coordenar os atos preparatórios à instrução processual e o envio da documentação pertinente ao setor de contratos para formalização dos procedimento de que dispõe o inciso I do artigo 15,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comunicar à autoridade competente, em prazo razoável, acerca do término dos contratos, para nova contratação ou prorrogação, visando à solução de continuidade;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VIII. constituir relatório final, de que trata a alínea "d" do inciso VI do § 3º do artigo 174 da Lei n.º 14.133/2021, com as informações obtidas durante a execução do contrato, como forma de aprimoramento das atividades da Administração;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IX. atualizar continuamente o relatório de riscos durante a gestão do contrato, com apoio dos fiscais técnico, administrativo e/ou setorial;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XI. diligenciar para a formalização de processo administrativo de responsabilização para fins de aplicação de sanções, a ser conduzido pela comissão de que trata o art. 158 da Lei n.º 14.133/2021 ou pelo agente/setor com competência para tal, conforme o caso.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25.9. Caberá ao FISCAL TÉCNICO DO CONTRATO e, nos seus afastamentos e impedimentos legais, ao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anotar no Histórico de Gerenciamento do Contrato todas as ocorrências relacionadas à execução do contrato, determinando o que for necessário para a regularização das faltas ou dos defeitos observados;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emitir notificações para a correção de rotinas ou de qualquer inexatidão ou irregularidade constatada em desacordo com a execução do contrato, determinando prazo para a correção;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IV. informar ao gestor do contato, em tempo hábil, a situação que demandar decisão ou adoção de medidas que ultrapassem sua competência, para que adote as medidas necessárias e saneadoras, se for o caso;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comunicar imediatamente ao gestor do contrato quaisquer ocorrências que possam inviabilizar a execução do contrato nas datas aprazadas;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comunicar o gestor do contrato, no prazo estabelecido nos termos no inciso VII do artigo 16, o término do contrato sob sua responsabilidade, no caso de novo contratação ou prorrogação;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VIII. participar da atualização do relatório de riscos durante a fase de gestão do contrato, juntamente com o fiscal administrativo e/ou setorial, de que trata o inciso VII do art. 16;</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X. realizar o recebimento provisório do objeto do contrato referido no art. 20, mediante termo detalhado que comprove o cumprimento das exigências de caráter técnico.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25.9.1. Ressalta-se que a responsabilidade pela fiscalização técnica do contrato decorrente desta licitação será atribuída à Secretaria Municipal de Obras (SEMOB).</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25.10. Caberá ao FISCAL ADMINISTRATIVO DO CONTRATO e, nos seus afastamentos e impedimentos legais, do substituto, em especial:</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 prestar apoio técnico e operacional ao gestor do contrato, subsidiando-o de informações pertinentes às suas competências;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 verificar a manutenção das condições de habilitação da CONTRATADA;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III. examinar a regularidade no recolhimento das contribuições fiscal, trabalhista e previdenciária e, em caso de descumprimento, observar as regras expedidas pela Administração;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IV. atuar tempestivamente na solução de eventuais problemas de descumprimento das obrigações contratuais, reportando ao gestor do contrato para providências cabíveis, quando ultrapassar a sua competência;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 participar da atualização do relatório de riscos durante a fase de gestão do contrato, em conjunto com o fiscal técnico e com o setorial, conforme o disposto no inciso IX do caput do art. 16, da Lei Municipal nº 4.606/2023;</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 auxiliar o gestor do contrato com as informações necessárias, na elaboração do documento comprobatório da avaliação realizada na fiscalização do cumprimento de obrigações assumidas pelo contratado, conforme o disposto no inciso X do caput do art. 16, da Lei Municipal nº 4.606/2023;</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VII. realizar o recebimento provisório do objeto do contrato, mediante termo detalhado que comprove o cumprimento das exigências de caráter administrativo.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25.11. O fiscal administrativo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25.13. Durante a execução do objeto, o fiscal técnico deverá monitorar constantemente onível de qualidade dos serviços para evitar a sua degeneração, devendo intervir para requerer à CONTRATADA a correção das faltas, falhas e irregularidades constatadas.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25.15. O recebimento provisório ou definitivo não excluirá a responsabilidade civil pela solidez e pela segurança da obra ou serviço nem a responsabilidade ético-profissional pela perfeita execução do contrato, nos limites estabelecidos pela lei ou pelo contrato.</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25.16. A CONTRATANTE se reserva no direito de rejeitar no todo ou em parte, os serviços ora contratados, prestados em desacordo com Edital e seus anexos, e com 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sz w:val="22"/>
          <w:szCs w:val="22"/>
        </w:rPr>
      </w:pPr>
      <w:r>
        <w:rPr>
          <w:b w:val="false"/>
          <w:bCs w:val="false"/>
          <w:spacing w:val="-2"/>
          <w:sz w:val="22"/>
          <w:szCs w:val="22"/>
        </w:rPr>
        <w:t>25.17.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w:t>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spacing w:val="-2"/>
          <w:sz w:val="22"/>
          <w:szCs w:val="22"/>
        </w:rPr>
      </w:pPr>
      <w:r>
        <w:rPr>
          <w:spacing w:val="-2"/>
          <w:sz w:val="22"/>
          <w:szCs w:val="22"/>
        </w:rPr>
      </w:r>
    </w:p>
    <w:p>
      <w:pPr>
        <w:pStyle w:val="Ttulo1"/>
        <w:tabs>
          <w:tab w:val="clear" w:pos="720"/>
          <w:tab w:val="left" w:pos="476" w:leader="none"/>
        </w:tabs>
        <w:ind w:left="0" w:hanging="0"/>
        <w:jc w:val="both"/>
        <w:rPr/>
      </w:pPr>
      <w:r>
        <w:rPr>
          <w:spacing w:val="-2"/>
          <w:sz w:val="22"/>
          <w:szCs w:val="22"/>
        </w:rPr>
        <w:t>26. DAS INFRAÇÕES ADMINISTRATIVAS E SANÇÕES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rFonts w:eastAsia="Arial" w:cs="Arial"/>
          <w:spacing w:val="-2"/>
          <w:sz w:val="22"/>
        </w:rPr>
      </w:pPr>
      <w:r>
        <w:rPr>
          <w:rFonts w:eastAsia="Arial" w:cs="Arial"/>
          <w:spacing w:val="-2"/>
          <w:sz w:val="22"/>
        </w:rPr>
        <w:t>26.1. Comete infração administrativa, nos termos do art. 155 da Lei 14.133/2021, o licitante ou adjudicatário que, com dolo ou culpa: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26.1.1. deixar de entregar a documentação exigida para o certame ou não entregar qualquer documento que tenha sido solicitado pelo Agente de Contratação/Comissão  durante o certame;</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 salvo em decorrência de fato superveniente devidamente justificado, não mantiver a proposta, em especial quando: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26.1.2.1. não enviar a proposta adequada ao último lance ofertado ou após a negociação;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26.1.2.2. recusar-se a enviar o detalhamento da proposta quando exigível;</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26.1.2.3. pedir para ser desclassificado quando encerrada a etapa competitiva;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26.1.2.4. deixar de apresentar amostra;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26.1.2.5. apresentar proposta ou amostra em desacordo com as especificações do edital;</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26.1.3. não entregar a documentação exigida para a contratação, quando convocado dentro do prazo de validade de sua proposta, ou recusar-se, sem justificativa, a assinar o contrato ou a ata de registro de preço, ou a aceitar ou retirar o instrumento equivalente no prazo estabelecido pela Administração;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26.1.4. apresentar declaração ou documentação falsa exigida para o certame ou prestar declaração falsa durante 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26.1.5. fraudar 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26.1.6. comportar-se de modo inidôneo ou cometer fraude de qualquer natureza, em especial quando:</w:t>
      </w:r>
    </w:p>
    <w:p>
      <w:pPr>
        <w:pStyle w:val="N11"/>
        <w:spacing w:before="0" w:after="0"/>
        <w:ind w:left="0" w:hanging="0"/>
        <w:rPr/>
      </w:pPr>
      <w:r>
        <w:rPr>
          <w:rFonts w:eastAsia="Arial" w:cs="Arial"/>
          <w:spacing w:val="-2"/>
          <w:sz w:val="22"/>
        </w:rPr>
        <w:t>26.1.6.1. agir em conluio ou em desconformidade com a lei;</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26.1.6.2. induzir deliberadamente a erro no julgamento;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26.1.6.3. apresentar amostra falsificada ou deteriorada;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26.1.7. praticar atos ilícitos com vistas a frustrar os objetivos da licitação;</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26.1.8. praticar ato lesivo previsto no art. 5º da Lei 12.846/2013;</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26.2. Reputar-se-á comportamento inidôneo, exemplificativamente, os tipificados nos arts. 337-F a 337-M do Código Penal e no art. 5º da Lei 12.846/2013, bem como a declaração falsa quanto às condições de participação e quanto ao enquadramento como ME/EPP.</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26.3. O licitante ou adjudicatário que cometer qualquer das infrações discriminadas ficará sujeito, sem prejuízo da responsabilidade penal e civil, às seguintes sanções: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26.3.1. multa de 0,5% até 30% (trinta por cento) sobre o valor estimado para os lotes em que participou o licitante;</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26.3.2. impedimento de licitar e contratar; e</w:t>
      </w:r>
    </w:p>
    <w:p>
      <w:pPr>
        <w:pStyle w:val="N11"/>
        <w:spacing w:before="0" w:after="0"/>
        <w:ind w:left="0" w:hanging="0"/>
        <w:rPr/>
      </w:pPr>
      <w:r>
        <w:rPr>
          <w:rFonts w:eastAsia="Arial" w:cs="Arial"/>
          <w:spacing w:val="-2"/>
          <w:sz w:val="22"/>
        </w:rPr>
        <w:t>26.3.3. declaração de inidoneidade para licitar ou contratar.</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26.4. As sanções de impedimento de licitar e contratar e declaração de inidoneidade para licitar ou contratar poderão ser aplicadas, cumulativamente ou não, à penalidade de multa.</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26.5. A aplicação de qualquer das penalidades previstas realizar-se-á em processo administrativo que assegurará o contraditório e a ampla defesa, observando-se além da disciplina legal e regulamentar, o disposto no Termo de Contrato e/ou no Termo de Referência quanto ao procedimento e outras condições.</w:t>
      </w:r>
    </w:p>
    <w:p>
      <w:pPr>
        <w:pStyle w:val="N11"/>
        <w:spacing w:before="0" w:after="0"/>
        <w:ind w:left="0" w:hanging="0"/>
        <w:rPr>
          <w:rFonts w:eastAsia="Arial" w:cs="Arial"/>
          <w:spacing w:val="-2"/>
          <w:sz w:val="22"/>
        </w:rPr>
      </w:pPr>
      <w:r>
        <w:rPr>
          <w:rFonts w:eastAsia="Arial" w:cs="Arial"/>
          <w:spacing w:val="-2"/>
          <w:sz w:val="22"/>
        </w:rPr>
      </w:r>
    </w:p>
    <w:p>
      <w:pPr>
        <w:pStyle w:val="N11"/>
        <w:spacing w:before="0" w:after="0"/>
        <w:ind w:left="0" w:hanging="0"/>
        <w:rPr/>
      </w:pPr>
      <w:r>
        <w:rPr>
          <w:rFonts w:eastAsia="Arial" w:cs="Arial"/>
          <w:spacing w:val="-2"/>
          <w:sz w:val="22"/>
        </w:rPr>
        <w:t>26.6. As sanções por atos praticados durante a execução do contrato estão previstas no Projeto Básico e no Termo de Contrato.</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b/>
          <w:bCs/>
        </w:rPr>
        <w:t>27. DISPOSIÇÕES</w:t>
      </w:r>
      <w:r>
        <w:rPr>
          <w:rFonts w:ascii="Arial" w:hAnsi="Arial"/>
          <w:b/>
          <w:bCs/>
          <w:spacing w:val="-3"/>
        </w:rPr>
        <w:t xml:space="preserve"> </w:t>
      </w:r>
      <w:r>
        <w:rPr>
          <w:rFonts w:ascii="Arial" w:hAnsi="Arial"/>
          <w:b/>
          <w:bCs/>
        </w:rPr>
        <w:t>GERAIS</w:t>
      </w:r>
    </w:p>
    <w:p>
      <w:pPr>
        <w:pStyle w:val="Corpodotexto"/>
        <w:rPr>
          <w:rFonts w:ascii="Arial" w:hAnsi="Arial"/>
          <w:b/>
          <w:b/>
          <w:sz w:val="22"/>
          <w:szCs w:val="22"/>
        </w:rPr>
      </w:pPr>
      <w:r>
        <w:rPr>
          <w:rFonts w:ascii="Arial" w:hAnsi="Arial"/>
          <w:b/>
          <w:sz w:val="22"/>
          <w:szCs w:val="22"/>
        </w:rPr>
      </w:r>
    </w:p>
    <w:p>
      <w:pPr>
        <w:pStyle w:val="Normal"/>
        <w:tabs>
          <w:tab w:val="clear" w:pos="720"/>
          <w:tab w:val="left" w:pos="637" w:leader="none"/>
        </w:tabs>
        <w:jc w:val="both"/>
        <w:rPr>
          <w:rFonts w:ascii="Arial" w:hAnsi="Arial"/>
        </w:rPr>
      </w:pPr>
      <w:r>
        <w:rPr>
          <w:rFonts w:ascii="Arial" w:hAnsi="Arial"/>
          <w:color w:val="000009"/>
        </w:rPr>
        <w:t>27.1.</w:t>
      </w:r>
      <w:r>
        <w:rPr>
          <w:rFonts w:ascii="Arial" w:hAnsi="Arial"/>
          <w:color w:val="000009"/>
          <w:w w:val="95"/>
        </w:rPr>
        <w:t xml:space="preserve"> A participação na Licitação implica na aceitação integral e irretratável dos termos do presente Edital,</w:t>
      </w:r>
      <w:r>
        <w:rPr>
          <w:rFonts w:ascii="Arial" w:hAnsi="Arial"/>
          <w:color w:val="000009"/>
          <w:spacing w:val="1"/>
          <w:w w:val="95"/>
        </w:rPr>
        <w:t xml:space="preserve"> </w:t>
      </w:r>
      <w:r>
        <w:rPr>
          <w:rFonts w:ascii="Arial" w:hAnsi="Arial"/>
          <w:color w:val="000009"/>
        </w:rPr>
        <w:t>seus anexos e Projeto Básico (Termo de Referência), bem como na observância dos regulamentos</w:t>
      </w:r>
      <w:r>
        <w:rPr>
          <w:rFonts w:ascii="Arial" w:hAnsi="Arial"/>
          <w:color w:val="000009"/>
          <w:spacing w:val="1"/>
        </w:rPr>
        <w:t xml:space="preserve"> </w:t>
      </w:r>
      <w:r>
        <w:rPr>
          <w:rFonts w:ascii="Arial" w:hAnsi="Arial"/>
          <w:color w:val="000009"/>
        </w:rPr>
        <w:t>administrativos</w:t>
      </w:r>
      <w:r>
        <w:rPr>
          <w:rFonts w:ascii="Arial" w:hAnsi="Arial"/>
          <w:color w:val="000009"/>
          <w:spacing w:val="-1"/>
        </w:rPr>
        <w:t xml:space="preserve"> </w:t>
      </w:r>
      <w:r>
        <w:rPr>
          <w:rFonts w:ascii="Arial" w:hAnsi="Arial"/>
          <w:color w:val="000009"/>
        </w:rPr>
        <w:t>e</w:t>
      </w:r>
      <w:r>
        <w:rPr>
          <w:rFonts w:ascii="Arial" w:hAnsi="Arial"/>
          <w:color w:val="000009"/>
          <w:spacing w:val="1"/>
        </w:rPr>
        <w:t xml:space="preserve"> </w:t>
      </w:r>
      <w:r>
        <w:rPr>
          <w:rFonts w:ascii="Arial" w:hAnsi="Arial"/>
          <w:color w:val="000009"/>
        </w:rPr>
        <w:t>das</w:t>
      </w:r>
      <w:r>
        <w:rPr>
          <w:rFonts w:ascii="Arial" w:hAnsi="Arial"/>
          <w:color w:val="000009"/>
          <w:spacing w:val="-1"/>
        </w:rPr>
        <w:t xml:space="preserve"> </w:t>
      </w:r>
      <w:r>
        <w:rPr>
          <w:rFonts w:ascii="Arial" w:hAnsi="Arial"/>
          <w:color w:val="000009"/>
        </w:rPr>
        <w:t>Normas</w:t>
      </w:r>
      <w:r>
        <w:rPr>
          <w:rFonts w:ascii="Arial" w:hAnsi="Arial"/>
          <w:color w:val="000009"/>
          <w:spacing w:val="-5"/>
        </w:rPr>
        <w:t xml:space="preserve"> </w:t>
      </w:r>
      <w:r>
        <w:rPr>
          <w:rFonts w:ascii="Arial" w:hAnsi="Arial"/>
          <w:color w:val="000009"/>
        </w:rPr>
        <w:t>Técnicas Gerais</w:t>
      </w:r>
      <w:r>
        <w:rPr>
          <w:rFonts w:ascii="Arial" w:hAnsi="Arial"/>
          <w:color w:val="000009"/>
          <w:spacing w:val="-1"/>
        </w:rPr>
        <w:t xml:space="preserve"> </w:t>
      </w:r>
      <w:r>
        <w:rPr>
          <w:rFonts w:ascii="Arial" w:hAnsi="Arial"/>
          <w:color w:val="000009"/>
        </w:rPr>
        <w:t>ou</w:t>
      </w:r>
      <w:r>
        <w:rPr>
          <w:rFonts w:ascii="Arial" w:hAnsi="Arial"/>
          <w:color w:val="000009"/>
          <w:spacing w:val="-1"/>
        </w:rPr>
        <w:t xml:space="preserve"> </w:t>
      </w:r>
      <w:r>
        <w:rPr>
          <w:rFonts w:ascii="Arial" w:hAnsi="Arial"/>
          <w:color w:val="000009"/>
        </w:rPr>
        <w:t>Específicas</w:t>
      </w:r>
      <w:r>
        <w:rPr>
          <w:rFonts w:ascii="Arial" w:hAnsi="Arial"/>
          <w:color w:val="000009"/>
          <w:spacing w:val="-1"/>
        </w:rPr>
        <w:t xml:space="preserve"> </w:t>
      </w:r>
      <w:r>
        <w:rPr>
          <w:rFonts w:ascii="Arial" w:hAnsi="Arial"/>
          <w:color w:val="000009"/>
        </w:rPr>
        <w:t>aplicáveis.</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color w:val="000009"/>
        </w:rPr>
        <w:t xml:space="preserve">27.2. </w:t>
      </w:r>
      <w:r>
        <w:rPr>
          <w:rFonts w:ascii="Arial" w:hAnsi="Arial"/>
        </w:rPr>
        <w:t>Quaisquer</w:t>
      </w:r>
      <w:r>
        <w:rPr>
          <w:rFonts w:ascii="Arial" w:hAnsi="Arial"/>
          <w:spacing w:val="-4"/>
        </w:rPr>
        <w:t xml:space="preserve"> </w:t>
      </w:r>
      <w:r>
        <w:rPr>
          <w:rFonts w:ascii="Arial" w:hAnsi="Arial"/>
        </w:rPr>
        <w:t>modificações</w:t>
      </w:r>
      <w:r>
        <w:rPr>
          <w:rFonts w:ascii="Arial" w:hAnsi="Arial"/>
          <w:spacing w:val="-5"/>
        </w:rPr>
        <w:t xml:space="preserve"> </w:t>
      </w:r>
      <w:r>
        <w:rPr>
          <w:rFonts w:ascii="Arial" w:hAnsi="Arial"/>
        </w:rPr>
        <w:t>ou</w:t>
      </w:r>
      <w:r>
        <w:rPr>
          <w:rFonts w:ascii="Arial" w:hAnsi="Arial"/>
          <w:spacing w:val="-4"/>
        </w:rPr>
        <w:t xml:space="preserve"> </w:t>
      </w:r>
      <w:r>
        <w:rPr>
          <w:rFonts w:ascii="Arial" w:hAnsi="Arial"/>
        </w:rPr>
        <w:t>alterações</w:t>
      </w:r>
      <w:r>
        <w:rPr>
          <w:rFonts w:ascii="Arial" w:hAnsi="Arial"/>
          <w:spacing w:val="-5"/>
        </w:rPr>
        <w:t xml:space="preserve"> </w:t>
      </w:r>
      <w:r>
        <w:rPr>
          <w:rFonts w:ascii="Arial" w:hAnsi="Arial"/>
        </w:rPr>
        <w:t>a</w:t>
      </w:r>
      <w:r>
        <w:rPr>
          <w:rFonts w:ascii="Arial" w:hAnsi="Arial"/>
          <w:spacing w:val="-3"/>
        </w:rPr>
        <w:t xml:space="preserve"> </w:t>
      </w:r>
      <w:r>
        <w:rPr>
          <w:rFonts w:ascii="Arial" w:hAnsi="Arial"/>
        </w:rPr>
        <w:t>serem</w:t>
      </w:r>
      <w:r>
        <w:rPr>
          <w:rFonts w:ascii="Arial" w:hAnsi="Arial"/>
          <w:spacing w:val="-3"/>
        </w:rPr>
        <w:t xml:space="preserve"> </w:t>
      </w:r>
      <w:r>
        <w:rPr>
          <w:rFonts w:ascii="Arial" w:hAnsi="Arial"/>
        </w:rPr>
        <w:t>introduzidas</w:t>
      </w:r>
      <w:r>
        <w:rPr>
          <w:rFonts w:ascii="Arial" w:hAnsi="Arial"/>
          <w:spacing w:val="-5"/>
        </w:rPr>
        <w:t xml:space="preserve"> </w:t>
      </w:r>
      <w:r>
        <w:rPr>
          <w:rFonts w:ascii="Arial" w:hAnsi="Arial"/>
        </w:rPr>
        <w:t>no</w:t>
      </w:r>
      <w:r>
        <w:rPr>
          <w:rFonts w:ascii="Arial" w:hAnsi="Arial"/>
          <w:spacing w:val="-3"/>
        </w:rPr>
        <w:t xml:space="preserve"> </w:t>
      </w:r>
      <w:r>
        <w:rPr>
          <w:rFonts w:ascii="Arial" w:hAnsi="Arial"/>
        </w:rPr>
        <w:t>Edital</w:t>
      </w:r>
      <w:r>
        <w:rPr>
          <w:rFonts w:ascii="Arial" w:hAnsi="Arial"/>
          <w:spacing w:val="2"/>
        </w:rPr>
        <w:t xml:space="preserve"> </w:t>
      </w:r>
      <w:r>
        <w:rPr>
          <w:rFonts w:ascii="Arial" w:hAnsi="Arial"/>
        </w:rPr>
        <w:t>terão</w:t>
      </w:r>
      <w:r>
        <w:rPr>
          <w:rFonts w:ascii="Arial" w:hAnsi="Arial"/>
          <w:spacing w:val="-3"/>
        </w:rPr>
        <w:t xml:space="preserve"> </w:t>
      </w:r>
      <w:r>
        <w:rPr>
          <w:rFonts w:ascii="Arial" w:hAnsi="Arial"/>
        </w:rPr>
        <w:t>divulgação</w:t>
      </w:r>
      <w:r>
        <w:rPr>
          <w:rFonts w:ascii="Arial" w:hAnsi="Arial"/>
          <w:spacing w:val="-4"/>
        </w:rPr>
        <w:t xml:space="preserve"> </w:t>
      </w:r>
      <w:r>
        <w:rPr>
          <w:rFonts w:ascii="Arial" w:hAnsi="Arial"/>
        </w:rPr>
        <w:t>pela</w:t>
      </w:r>
      <w:r>
        <w:rPr>
          <w:rFonts w:ascii="Arial" w:hAnsi="Arial"/>
          <w:spacing w:val="-3"/>
        </w:rPr>
        <w:t xml:space="preserve"> </w:t>
      </w:r>
      <w:r>
        <w:rPr>
          <w:rFonts w:ascii="Arial" w:hAnsi="Arial"/>
        </w:rPr>
        <w:t>mesma</w:t>
      </w:r>
      <w:r>
        <w:rPr>
          <w:rFonts w:ascii="Arial" w:hAnsi="Arial"/>
          <w:spacing w:val="-53"/>
        </w:rPr>
        <w:t xml:space="preserve"> </w:t>
      </w:r>
      <w:r>
        <w:rPr>
          <w:rFonts w:ascii="Arial" w:hAnsi="Arial"/>
        </w:rPr>
        <w:t>forma que se deu o texto original com a consequente reabertura do prazo inicialmente estabelecido,</w:t>
      </w:r>
      <w:r>
        <w:rPr>
          <w:rFonts w:ascii="Arial" w:hAnsi="Arial"/>
          <w:spacing w:val="1"/>
        </w:rPr>
        <w:t xml:space="preserve"> </w:t>
      </w:r>
      <w:r>
        <w:rPr>
          <w:rFonts w:ascii="Arial" w:hAnsi="Arial"/>
        </w:rPr>
        <w:t>exceto</w:t>
      </w:r>
      <w:r>
        <w:rPr>
          <w:rFonts w:ascii="Arial" w:hAnsi="Arial"/>
          <w:spacing w:val="-2"/>
        </w:rPr>
        <w:t xml:space="preserve"> </w:t>
      </w:r>
      <w:r>
        <w:rPr>
          <w:rFonts w:ascii="Arial" w:hAnsi="Arial"/>
        </w:rPr>
        <w:t>quando, inquestionavelmente, a</w:t>
      </w:r>
      <w:r>
        <w:rPr>
          <w:rFonts w:ascii="Arial" w:hAnsi="Arial"/>
          <w:spacing w:val="-1"/>
        </w:rPr>
        <w:t xml:space="preserve"> </w:t>
      </w:r>
      <w:r>
        <w:rPr>
          <w:rFonts w:ascii="Arial" w:hAnsi="Arial"/>
        </w:rPr>
        <w:t>alteração</w:t>
      </w:r>
      <w:r>
        <w:rPr>
          <w:rFonts w:ascii="Arial" w:hAnsi="Arial"/>
          <w:spacing w:val="-2"/>
        </w:rPr>
        <w:t xml:space="preserve"> </w:t>
      </w:r>
      <w:r>
        <w:rPr>
          <w:rFonts w:ascii="Arial" w:hAnsi="Arial"/>
        </w:rPr>
        <w:t>não afetar</w:t>
      </w:r>
      <w:r>
        <w:rPr>
          <w:rFonts w:ascii="Arial" w:hAnsi="Arial"/>
          <w:spacing w:val="2"/>
        </w:rPr>
        <w:t xml:space="preserve"> </w:t>
      </w:r>
      <w:r>
        <w:rPr>
          <w:rFonts w:ascii="Arial" w:hAnsi="Arial"/>
        </w:rPr>
        <w:t>a</w:t>
      </w:r>
      <w:r>
        <w:rPr>
          <w:rFonts w:ascii="Arial" w:hAnsi="Arial"/>
          <w:spacing w:val="-2"/>
        </w:rPr>
        <w:t xml:space="preserve"> </w:t>
      </w:r>
      <w:r>
        <w:rPr>
          <w:rFonts w:ascii="Arial" w:hAnsi="Arial"/>
        </w:rPr>
        <w:t>formulação das propostas.</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pPr>
      <w:r>
        <w:rPr>
          <w:rFonts w:ascii="Arial" w:hAnsi="Arial"/>
        </w:rPr>
        <w:t>27.3. Compete à licitante acompanhar os prazos estabelecidos neste Edital e divulgados no endereço</w:t>
      </w:r>
      <w:r>
        <w:rPr>
          <w:rFonts w:ascii="Arial" w:hAnsi="Arial"/>
          <w:spacing w:val="1"/>
        </w:rPr>
        <w:t xml:space="preserve"> </w:t>
      </w:r>
      <w:r>
        <w:rPr>
          <w:rFonts w:ascii="Arial" w:hAnsi="Arial"/>
        </w:rPr>
        <w:t>eletrônico</w:t>
      </w:r>
      <w:r>
        <w:rPr>
          <w:rFonts w:ascii="Arial" w:hAnsi="Arial"/>
          <w:spacing w:val="1"/>
        </w:rPr>
        <w:t xml:space="preserve"> </w:t>
      </w:r>
      <w:hyperlink r:id="rId21">
        <w:r>
          <w:rPr>
            <w:rStyle w:val="LinkdaInternet"/>
            <w:rFonts w:ascii="Arial" w:hAnsi="Arial"/>
          </w:rPr>
          <w:t>http://www.aracruz.es.gov.br/licitacoes/</w:t>
        </w:r>
      </w:hyperlink>
      <w:hyperlink r:id="rId22">
        <w:r>
          <w:rPr>
            <w:rFonts w:ascii="Arial" w:hAnsi="Arial"/>
          </w:rPr>
          <w:t xml:space="preserve"> </w:t>
        </w:r>
      </w:hyperlink>
      <w:r>
        <w:rPr>
          <w:rFonts w:ascii="Arial" w:hAnsi="Arial"/>
        </w:rPr>
        <w:t>e no e</w:t>
      </w:r>
      <w:r>
        <w:rPr>
          <w:rFonts w:cs="Arial" w:ascii="Arial" w:hAnsi="Arial"/>
          <w:color w:val="000009"/>
        </w:rPr>
        <w:t>ndereço eletrônico Bolsa de Licitações do Brasil – BLL (</w:t>
      </w:r>
      <w:hyperlink r:id="rId23">
        <w:r>
          <w:rPr>
            <w:rStyle w:val="LinkdaInternet"/>
            <w:rFonts w:cs="Arial" w:ascii="Arial" w:hAnsi="Arial"/>
            <w:color w:val="000009"/>
          </w:rPr>
          <w:t>http://bll.org.br/</w:t>
        </w:r>
      </w:hyperlink>
      <w:r>
        <w:rPr>
          <w:rFonts w:cs="Arial" w:ascii="Arial" w:hAnsi="Arial"/>
          <w:color w:val="000009"/>
        </w:rPr>
        <w:t xml:space="preserve">), </w:t>
      </w:r>
      <w:r>
        <w:rPr>
          <w:rFonts w:ascii="Arial" w:hAnsi="Arial"/>
        </w:rPr>
        <w:t>assim</w:t>
      </w:r>
      <w:r>
        <w:rPr>
          <w:rFonts w:ascii="Arial" w:hAnsi="Arial"/>
          <w:spacing w:val="1"/>
        </w:rPr>
        <w:t xml:space="preserve"> </w:t>
      </w:r>
      <w:r>
        <w:rPr>
          <w:rFonts w:ascii="Arial" w:hAnsi="Arial"/>
        </w:rPr>
        <w:t>como</w:t>
      </w:r>
      <w:r>
        <w:rPr>
          <w:rFonts w:ascii="Arial" w:hAnsi="Arial"/>
          <w:spacing w:val="1"/>
        </w:rPr>
        <w:t xml:space="preserve"> </w:t>
      </w:r>
      <w:r>
        <w:rPr>
          <w:rFonts w:ascii="Arial" w:hAnsi="Arial"/>
        </w:rPr>
        <w:t>suas</w:t>
      </w:r>
      <w:r>
        <w:rPr>
          <w:rFonts w:ascii="Arial" w:hAnsi="Arial"/>
          <w:spacing w:val="1"/>
        </w:rPr>
        <w:t xml:space="preserve"> </w:t>
      </w:r>
      <w:r>
        <w:rPr>
          <w:rFonts w:ascii="Arial" w:hAnsi="Arial"/>
        </w:rPr>
        <w:t>eventuais</w:t>
      </w:r>
      <w:r>
        <w:rPr>
          <w:rFonts w:ascii="Arial" w:hAnsi="Arial"/>
          <w:spacing w:val="1"/>
        </w:rPr>
        <w:t xml:space="preserve"> </w:t>
      </w:r>
      <w:r>
        <w:rPr>
          <w:rFonts w:ascii="Arial" w:hAnsi="Arial"/>
        </w:rPr>
        <w:t>alterações</w:t>
      </w:r>
      <w:r>
        <w:rPr>
          <w:rFonts w:ascii="Arial" w:hAnsi="Arial"/>
          <w:spacing w:val="1"/>
        </w:rPr>
        <w:t xml:space="preserve"> </w:t>
      </w:r>
      <w:r>
        <w:rPr>
          <w:rFonts w:ascii="Arial" w:hAnsi="Arial"/>
        </w:rPr>
        <w:t>e</w:t>
      </w:r>
      <w:r>
        <w:rPr>
          <w:rFonts w:ascii="Arial" w:hAnsi="Arial"/>
          <w:spacing w:val="1"/>
        </w:rPr>
        <w:t xml:space="preserve"> </w:t>
      </w:r>
      <w:r>
        <w:rPr>
          <w:rFonts w:ascii="Arial" w:hAnsi="Arial"/>
        </w:rPr>
        <w:t>demais</w:t>
      </w:r>
      <w:r>
        <w:rPr>
          <w:rFonts w:ascii="Arial" w:hAnsi="Arial"/>
          <w:spacing w:val="-53"/>
        </w:rPr>
        <w:t xml:space="preserve"> </w:t>
      </w:r>
      <w:r>
        <w:rPr>
          <w:rFonts w:ascii="Arial" w:hAnsi="Arial"/>
        </w:rPr>
        <w:t>procedimentos</w:t>
      </w:r>
      <w:r>
        <w:rPr>
          <w:rFonts w:ascii="Arial" w:hAnsi="Arial"/>
          <w:spacing w:val="-1"/>
        </w:rPr>
        <w:t xml:space="preserve"> </w:t>
      </w:r>
      <w:r>
        <w:rPr>
          <w:rFonts w:ascii="Arial" w:hAnsi="Arial"/>
        </w:rPr>
        <w:t>referentes</w:t>
      </w:r>
      <w:r>
        <w:rPr>
          <w:rFonts w:ascii="Arial" w:hAnsi="Arial"/>
          <w:spacing w:val="2"/>
        </w:rPr>
        <w:t xml:space="preserve"> </w:t>
      </w:r>
      <w:r>
        <w:rPr>
          <w:rFonts w:ascii="Arial" w:hAnsi="Arial"/>
        </w:rPr>
        <w:t>ao</w:t>
      </w:r>
      <w:r>
        <w:rPr>
          <w:rFonts w:ascii="Arial" w:hAnsi="Arial"/>
          <w:spacing w:val="-1"/>
        </w:rPr>
        <w:t xml:space="preserve"> </w:t>
      </w:r>
      <w:r>
        <w:rPr>
          <w:rFonts w:ascii="Arial" w:hAnsi="Arial"/>
        </w:rPr>
        <w:t>processo</w:t>
      </w:r>
      <w:r>
        <w:rPr>
          <w:rFonts w:ascii="Arial" w:hAnsi="Arial"/>
          <w:spacing w:val="2"/>
        </w:rPr>
        <w:t xml:space="preserve"> </w:t>
      </w:r>
      <w:r>
        <w:rPr>
          <w:rFonts w:ascii="Arial" w:hAnsi="Arial"/>
        </w:rPr>
        <w:t>licitatório.</w:t>
      </w:r>
    </w:p>
    <w:p>
      <w:pPr>
        <w:pStyle w:val="Normal"/>
        <w:tabs>
          <w:tab w:val="clear" w:pos="720"/>
          <w:tab w:val="left" w:pos="637" w:leader="none"/>
        </w:tabs>
        <w:ind w:left="113" w:hanging="0"/>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rPr>
        <w:t>27.4.</w:t>
      </w:r>
      <w:r>
        <w:rPr>
          <w:rFonts w:ascii="Arial" w:hAnsi="Arial"/>
          <w:color w:val="000009"/>
          <w:w w:val="95"/>
        </w:rPr>
        <w:t xml:space="preserve"> A licitante é responsável pela fidelidade e legitimidade das informações prestadas e dos documentos</w:t>
      </w:r>
      <w:r>
        <w:rPr>
          <w:rFonts w:ascii="Arial" w:hAnsi="Arial"/>
          <w:color w:val="000009"/>
          <w:spacing w:val="1"/>
          <w:w w:val="95"/>
        </w:rPr>
        <w:t xml:space="preserve"> </w:t>
      </w:r>
      <w:r>
        <w:rPr>
          <w:rFonts w:ascii="Arial" w:hAnsi="Arial"/>
          <w:color w:val="000009"/>
        </w:rPr>
        <w:t>apresentados em qualquer fase da licitação. A falsidade de qualquer documento apresentado ou a</w:t>
      </w:r>
      <w:r>
        <w:rPr>
          <w:rFonts w:ascii="Arial" w:hAnsi="Arial"/>
          <w:color w:val="000009"/>
          <w:spacing w:val="1"/>
        </w:rPr>
        <w:t xml:space="preserve"> </w:t>
      </w:r>
      <w:r>
        <w:rPr>
          <w:rFonts w:ascii="Arial" w:hAnsi="Arial"/>
          <w:color w:val="000009"/>
        </w:rPr>
        <w:t>inverdade</w:t>
      </w:r>
      <w:r>
        <w:rPr>
          <w:rFonts w:ascii="Arial" w:hAnsi="Arial"/>
          <w:color w:val="000009"/>
          <w:spacing w:val="-4"/>
        </w:rPr>
        <w:t xml:space="preserve"> </w:t>
      </w:r>
      <w:r>
        <w:rPr>
          <w:rFonts w:ascii="Arial" w:hAnsi="Arial"/>
          <w:color w:val="000009"/>
        </w:rPr>
        <w:t>das</w:t>
      </w:r>
      <w:r>
        <w:rPr>
          <w:rFonts w:ascii="Arial" w:hAnsi="Arial"/>
          <w:color w:val="000009"/>
          <w:spacing w:val="-2"/>
        </w:rPr>
        <w:t xml:space="preserve"> </w:t>
      </w:r>
      <w:r>
        <w:rPr>
          <w:rFonts w:ascii="Arial" w:hAnsi="Arial"/>
          <w:color w:val="000009"/>
        </w:rPr>
        <w:t>informações</w:t>
      </w:r>
      <w:r>
        <w:rPr>
          <w:rFonts w:ascii="Arial" w:hAnsi="Arial"/>
          <w:color w:val="000009"/>
          <w:spacing w:val="-2"/>
        </w:rPr>
        <w:t xml:space="preserve"> </w:t>
      </w:r>
      <w:r>
        <w:rPr>
          <w:rFonts w:ascii="Arial" w:hAnsi="Arial"/>
          <w:color w:val="000009"/>
        </w:rPr>
        <w:t>nele</w:t>
      </w:r>
      <w:r>
        <w:rPr>
          <w:rFonts w:ascii="Arial" w:hAnsi="Arial"/>
          <w:color w:val="000009"/>
          <w:spacing w:val="-5"/>
        </w:rPr>
        <w:t xml:space="preserve"> </w:t>
      </w:r>
      <w:r>
        <w:rPr>
          <w:rFonts w:ascii="Arial" w:hAnsi="Arial"/>
          <w:color w:val="000009"/>
        </w:rPr>
        <w:t>contidas</w:t>
      </w:r>
      <w:r>
        <w:rPr>
          <w:rFonts w:ascii="Arial" w:hAnsi="Arial"/>
          <w:color w:val="000009"/>
          <w:spacing w:val="-2"/>
        </w:rPr>
        <w:t xml:space="preserve"> </w:t>
      </w:r>
      <w:r>
        <w:rPr>
          <w:rFonts w:ascii="Arial" w:hAnsi="Arial"/>
          <w:color w:val="000009"/>
        </w:rPr>
        <w:t>implicará</w:t>
      </w:r>
      <w:r>
        <w:rPr>
          <w:rFonts w:ascii="Arial" w:hAnsi="Arial"/>
          <w:color w:val="000009"/>
          <w:spacing w:val="-3"/>
        </w:rPr>
        <w:t xml:space="preserve"> </w:t>
      </w:r>
      <w:r>
        <w:rPr>
          <w:rFonts w:ascii="Arial" w:hAnsi="Arial"/>
          <w:color w:val="000009"/>
        </w:rPr>
        <w:t>a</w:t>
      </w:r>
      <w:r>
        <w:rPr>
          <w:rFonts w:ascii="Arial" w:hAnsi="Arial"/>
          <w:color w:val="000009"/>
          <w:spacing w:val="-2"/>
        </w:rPr>
        <w:t xml:space="preserve"> </w:t>
      </w:r>
      <w:r>
        <w:rPr>
          <w:rFonts w:ascii="Arial" w:hAnsi="Arial"/>
          <w:color w:val="000009"/>
        </w:rPr>
        <w:t>imediata</w:t>
      </w:r>
      <w:r>
        <w:rPr>
          <w:rFonts w:ascii="Arial" w:hAnsi="Arial"/>
          <w:color w:val="000009"/>
          <w:spacing w:val="-4"/>
        </w:rPr>
        <w:t xml:space="preserve"> </w:t>
      </w:r>
      <w:r>
        <w:rPr>
          <w:rFonts w:ascii="Arial" w:hAnsi="Arial"/>
          <w:color w:val="000009"/>
        </w:rPr>
        <w:t>desclassificação</w:t>
      </w:r>
      <w:r>
        <w:rPr>
          <w:rFonts w:ascii="Arial" w:hAnsi="Arial"/>
          <w:color w:val="000009"/>
          <w:spacing w:val="-4"/>
        </w:rPr>
        <w:t xml:space="preserve"> </w:t>
      </w:r>
      <w:r>
        <w:rPr>
          <w:rFonts w:ascii="Arial" w:hAnsi="Arial"/>
          <w:color w:val="000009"/>
        </w:rPr>
        <w:t>do</w:t>
      </w:r>
      <w:r>
        <w:rPr>
          <w:rFonts w:ascii="Arial" w:hAnsi="Arial"/>
          <w:color w:val="000009"/>
          <w:spacing w:val="-5"/>
        </w:rPr>
        <w:t xml:space="preserve"> </w:t>
      </w:r>
      <w:r>
        <w:rPr>
          <w:rFonts w:ascii="Arial" w:hAnsi="Arial"/>
          <w:color w:val="000009"/>
        </w:rPr>
        <w:t>proponente</w:t>
      </w:r>
      <w:r>
        <w:rPr>
          <w:rFonts w:ascii="Arial" w:hAnsi="Arial"/>
          <w:color w:val="000009"/>
          <w:spacing w:val="-3"/>
        </w:rPr>
        <w:t xml:space="preserve"> </w:t>
      </w:r>
      <w:r>
        <w:rPr>
          <w:rFonts w:ascii="Arial" w:hAnsi="Arial"/>
          <w:color w:val="000009"/>
        </w:rPr>
        <w:t>que</w:t>
      </w:r>
      <w:r>
        <w:rPr>
          <w:rFonts w:ascii="Arial" w:hAnsi="Arial"/>
          <w:color w:val="000009"/>
          <w:spacing w:val="-4"/>
        </w:rPr>
        <w:t xml:space="preserve"> </w:t>
      </w:r>
      <w:r>
        <w:rPr>
          <w:rFonts w:ascii="Arial" w:hAnsi="Arial"/>
          <w:color w:val="000009"/>
        </w:rPr>
        <w:t>o</w:t>
      </w:r>
      <w:r>
        <w:rPr>
          <w:rFonts w:ascii="Arial" w:hAnsi="Arial"/>
          <w:color w:val="000009"/>
          <w:spacing w:val="-3"/>
        </w:rPr>
        <w:t xml:space="preserve"> </w:t>
      </w:r>
      <w:r>
        <w:rPr>
          <w:rFonts w:ascii="Arial" w:hAnsi="Arial"/>
          <w:color w:val="000009"/>
        </w:rPr>
        <w:t>tiver</w:t>
      </w:r>
      <w:r>
        <w:rPr>
          <w:rFonts w:ascii="Arial" w:hAnsi="Arial"/>
          <w:color w:val="000009"/>
          <w:spacing w:val="-53"/>
        </w:rPr>
        <w:t xml:space="preserve"> </w:t>
      </w:r>
      <w:r>
        <w:rPr>
          <w:rFonts w:ascii="Arial" w:hAnsi="Arial"/>
          <w:color w:val="000009"/>
        </w:rPr>
        <w:t>apresentado, ou, caso tenha sido o vencedor, a rescisão do contrato, sem prejuízo das demais sanções</w:t>
      </w:r>
      <w:r>
        <w:rPr>
          <w:rFonts w:ascii="Arial" w:hAnsi="Arial"/>
          <w:color w:val="000009"/>
          <w:spacing w:val="1"/>
        </w:rPr>
        <w:t xml:space="preserve"> </w:t>
      </w:r>
      <w:r>
        <w:rPr>
          <w:rFonts w:ascii="Arial" w:hAnsi="Arial"/>
          <w:color w:val="000009"/>
        </w:rPr>
        <w:t>cabíveis.</w:t>
      </w:r>
    </w:p>
    <w:p>
      <w:pPr>
        <w:pStyle w:val="Normal"/>
        <w:tabs>
          <w:tab w:val="clear" w:pos="720"/>
          <w:tab w:val="left" w:pos="637" w:leader="none"/>
        </w:tabs>
        <w:ind w:left="113" w:hanging="0"/>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ascii="Arial" w:hAnsi="Arial"/>
          <w:color w:val="000009"/>
        </w:rPr>
        <w:t>27.5. A licitante deverá ter pleno conhecimento dos elementos constantes desta licitação, notadamente</w:t>
      </w:r>
      <w:r>
        <w:rPr>
          <w:rFonts w:ascii="Arial" w:hAnsi="Arial"/>
          <w:color w:val="000009"/>
          <w:spacing w:val="1"/>
        </w:rPr>
        <w:t xml:space="preserve"> </w:t>
      </w:r>
      <w:r>
        <w:rPr>
          <w:rFonts w:ascii="Arial" w:hAnsi="Arial"/>
          <w:color w:val="000009"/>
        </w:rPr>
        <w:t>das</w:t>
      </w:r>
      <w:r>
        <w:rPr>
          <w:rFonts w:ascii="Arial" w:hAnsi="Arial"/>
          <w:color w:val="000009"/>
          <w:spacing w:val="-8"/>
        </w:rPr>
        <w:t xml:space="preserve"> </w:t>
      </w:r>
      <w:r>
        <w:rPr>
          <w:rFonts w:ascii="Arial" w:hAnsi="Arial"/>
          <w:color w:val="000009"/>
        </w:rPr>
        <w:t>condições</w:t>
      </w:r>
      <w:r>
        <w:rPr>
          <w:rFonts w:ascii="Arial" w:hAnsi="Arial"/>
          <w:color w:val="000009"/>
          <w:spacing w:val="-7"/>
        </w:rPr>
        <w:t xml:space="preserve"> </w:t>
      </w:r>
      <w:r>
        <w:rPr>
          <w:rFonts w:ascii="Arial" w:hAnsi="Arial"/>
          <w:color w:val="000009"/>
        </w:rPr>
        <w:t>gerais</w:t>
      </w:r>
      <w:r>
        <w:rPr>
          <w:rFonts w:ascii="Arial" w:hAnsi="Arial"/>
          <w:color w:val="000009"/>
          <w:spacing w:val="-8"/>
        </w:rPr>
        <w:t xml:space="preserve"> </w:t>
      </w:r>
      <w:r>
        <w:rPr>
          <w:rFonts w:ascii="Arial" w:hAnsi="Arial"/>
          <w:color w:val="000009"/>
        </w:rPr>
        <w:t>e</w:t>
      </w:r>
      <w:r>
        <w:rPr>
          <w:rFonts w:ascii="Arial" w:hAnsi="Arial"/>
          <w:color w:val="000009"/>
          <w:spacing w:val="-8"/>
        </w:rPr>
        <w:t xml:space="preserve"> </w:t>
      </w:r>
      <w:r>
        <w:rPr>
          <w:rFonts w:ascii="Arial" w:hAnsi="Arial"/>
          <w:color w:val="000009"/>
        </w:rPr>
        <w:t>particulares</w:t>
      </w:r>
      <w:r>
        <w:rPr>
          <w:rFonts w:ascii="Arial" w:hAnsi="Arial"/>
          <w:color w:val="000009"/>
          <w:spacing w:val="-7"/>
        </w:rPr>
        <w:t xml:space="preserve"> </w:t>
      </w:r>
      <w:r>
        <w:rPr>
          <w:rFonts w:ascii="Arial" w:hAnsi="Arial"/>
          <w:color w:val="000009"/>
        </w:rPr>
        <w:t>de</w:t>
      </w:r>
      <w:r>
        <w:rPr>
          <w:rFonts w:ascii="Arial" w:hAnsi="Arial"/>
          <w:color w:val="000009"/>
          <w:spacing w:val="-9"/>
        </w:rPr>
        <w:t xml:space="preserve"> </w:t>
      </w:r>
      <w:r>
        <w:rPr>
          <w:rFonts w:ascii="Arial" w:hAnsi="Arial"/>
          <w:color w:val="000009"/>
        </w:rPr>
        <w:t>seu</w:t>
      </w:r>
      <w:r>
        <w:rPr>
          <w:rFonts w:ascii="Arial" w:hAnsi="Arial"/>
          <w:color w:val="000009"/>
          <w:spacing w:val="-8"/>
        </w:rPr>
        <w:t xml:space="preserve"> </w:t>
      </w:r>
      <w:r>
        <w:rPr>
          <w:rFonts w:ascii="Arial" w:hAnsi="Arial"/>
          <w:color w:val="000009"/>
        </w:rPr>
        <w:t>objeto,</w:t>
      </w:r>
      <w:r>
        <w:rPr>
          <w:rFonts w:ascii="Arial" w:hAnsi="Arial"/>
          <w:color w:val="000009"/>
          <w:spacing w:val="-9"/>
        </w:rPr>
        <w:t xml:space="preserve"> </w:t>
      </w:r>
      <w:r>
        <w:rPr>
          <w:rFonts w:ascii="Arial" w:hAnsi="Arial"/>
          <w:color w:val="000009"/>
        </w:rPr>
        <w:t>não</w:t>
      </w:r>
      <w:r>
        <w:rPr>
          <w:rFonts w:ascii="Arial" w:hAnsi="Arial"/>
          <w:color w:val="000009"/>
          <w:spacing w:val="-6"/>
        </w:rPr>
        <w:t xml:space="preserve"> </w:t>
      </w:r>
      <w:r>
        <w:rPr>
          <w:rFonts w:ascii="Arial" w:hAnsi="Arial"/>
          <w:color w:val="000009"/>
        </w:rPr>
        <w:t>podendo</w:t>
      </w:r>
      <w:r>
        <w:rPr>
          <w:rFonts w:ascii="Arial" w:hAnsi="Arial"/>
          <w:color w:val="000009"/>
          <w:spacing w:val="-6"/>
        </w:rPr>
        <w:t xml:space="preserve"> </w:t>
      </w:r>
      <w:r>
        <w:rPr>
          <w:rFonts w:ascii="Arial" w:hAnsi="Arial"/>
          <w:color w:val="000009"/>
        </w:rPr>
        <w:t>invocar</w:t>
      </w:r>
      <w:r>
        <w:rPr>
          <w:rFonts w:ascii="Arial" w:hAnsi="Arial"/>
          <w:color w:val="000009"/>
          <w:spacing w:val="-8"/>
        </w:rPr>
        <w:t xml:space="preserve"> </w:t>
      </w:r>
      <w:r>
        <w:rPr>
          <w:rFonts w:ascii="Arial" w:hAnsi="Arial"/>
          <w:color w:val="000009"/>
        </w:rPr>
        <w:t>qualquer</w:t>
      </w:r>
      <w:r>
        <w:rPr>
          <w:rFonts w:ascii="Arial" w:hAnsi="Arial"/>
          <w:color w:val="000009"/>
          <w:spacing w:val="-5"/>
        </w:rPr>
        <w:t xml:space="preserve"> </w:t>
      </w:r>
      <w:r>
        <w:rPr>
          <w:rFonts w:ascii="Arial" w:hAnsi="Arial"/>
          <w:color w:val="000009"/>
        </w:rPr>
        <w:t>desconhecimento</w:t>
      </w:r>
      <w:r>
        <w:rPr>
          <w:rFonts w:ascii="Arial" w:hAnsi="Arial"/>
          <w:color w:val="000009"/>
          <w:spacing w:val="-9"/>
        </w:rPr>
        <w:t xml:space="preserve"> </w:t>
      </w:r>
      <w:r>
        <w:rPr>
          <w:rFonts w:ascii="Arial" w:hAnsi="Arial"/>
          <w:color w:val="000009"/>
        </w:rPr>
        <w:t>como</w:t>
      </w:r>
      <w:r>
        <w:rPr>
          <w:rFonts w:ascii="Arial" w:hAnsi="Arial"/>
          <w:color w:val="000009"/>
          <w:spacing w:val="-53"/>
        </w:rPr>
        <w:t xml:space="preserve"> </w:t>
      </w:r>
      <w:r>
        <w:rPr>
          <w:rFonts w:ascii="Arial" w:hAnsi="Arial"/>
          <w:color w:val="000009"/>
        </w:rPr>
        <w:t>elemento impeditivo da</w:t>
      </w:r>
      <w:r>
        <w:rPr>
          <w:rFonts w:ascii="Arial" w:hAnsi="Arial"/>
          <w:color w:val="000009"/>
          <w:spacing w:val="-1"/>
        </w:rPr>
        <w:t xml:space="preserve"> </w:t>
      </w:r>
      <w:r>
        <w:rPr>
          <w:rFonts w:ascii="Arial" w:hAnsi="Arial"/>
          <w:color w:val="000009"/>
        </w:rPr>
        <w:t>formulação da</w:t>
      </w:r>
      <w:r>
        <w:rPr>
          <w:rFonts w:ascii="Arial" w:hAnsi="Arial"/>
          <w:color w:val="000009"/>
          <w:spacing w:val="-1"/>
        </w:rPr>
        <w:t xml:space="preserve"> </w:t>
      </w:r>
      <w:r>
        <w:rPr>
          <w:rFonts w:ascii="Arial" w:hAnsi="Arial"/>
          <w:color w:val="000009"/>
        </w:rPr>
        <w:t>proposta e</w:t>
      </w:r>
      <w:r>
        <w:rPr>
          <w:rFonts w:ascii="Arial" w:hAnsi="Arial"/>
          <w:color w:val="000009"/>
          <w:spacing w:val="-1"/>
        </w:rPr>
        <w:t xml:space="preserve"> </w:t>
      </w:r>
      <w:r>
        <w:rPr>
          <w:rFonts w:ascii="Arial" w:hAnsi="Arial"/>
          <w:color w:val="000009"/>
        </w:rPr>
        <w:t>do</w:t>
      </w:r>
      <w:r>
        <w:rPr>
          <w:rFonts w:ascii="Arial" w:hAnsi="Arial"/>
          <w:color w:val="000009"/>
          <w:spacing w:val="-2"/>
        </w:rPr>
        <w:t xml:space="preserve"> </w:t>
      </w:r>
      <w:r>
        <w:rPr>
          <w:rFonts w:ascii="Arial" w:hAnsi="Arial"/>
          <w:color w:val="000009"/>
        </w:rPr>
        <w:t>integral</w:t>
      </w:r>
      <w:r>
        <w:rPr>
          <w:rFonts w:ascii="Arial" w:hAnsi="Arial"/>
          <w:color w:val="000009"/>
          <w:spacing w:val="-2"/>
        </w:rPr>
        <w:t xml:space="preserve"> </w:t>
      </w:r>
      <w:r>
        <w:rPr>
          <w:rFonts w:ascii="Arial" w:hAnsi="Arial"/>
          <w:color w:val="000009"/>
        </w:rPr>
        <w:t>cumprimento</w:t>
      </w:r>
      <w:r>
        <w:rPr>
          <w:rFonts w:ascii="Arial" w:hAnsi="Arial"/>
          <w:color w:val="000009"/>
          <w:spacing w:val="-2"/>
        </w:rPr>
        <w:t xml:space="preserve"> </w:t>
      </w:r>
      <w:r>
        <w:rPr>
          <w:rFonts w:ascii="Arial" w:hAnsi="Arial"/>
          <w:color w:val="000009"/>
        </w:rPr>
        <w:t>do</w:t>
      </w:r>
      <w:r>
        <w:rPr>
          <w:rFonts w:ascii="Arial" w:hAnsi="Arial"/>
          <w:color w:val="000009"/>
          <w:spacing w:val="-1"/>
        </w:rPr>
        <w:t xml:space="preserve"> </w:t>
      </w:r>
      <w:r>
        <w:rPr>
          <w:rFonts w:ascii="Arial" w:hAnsi="Arial"/>
          <w:color w:val="000009"/>
        </w:rPr>
        <w:t>Contrato.</w:t>
      </w:r>
    </w:p>
    <w:p>
      <w:pPr>
        <w:pStyle w:val="Normal"/>
        <w:tabs>
          <w:tab w:val="clear" w:pos="720"/>
          <w:tab w:val="left" w:pos="637" w:leader="none"/>
        </w:tabs>
        <w:ind w:left="113" w:hanging="0"/>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27.6. Será divulgada ata da sessão pública no sistema eletrônico.</w:t>
      </w:r>
    </w:p>
    <w:p>
      <w:pPr>
        <w:pStyle w:val="Normal"/>
        <w:tabs>
          <w:tab w:val="clear" w:pos="720"/>
          <w:tab w:val="left" w:pos="637" w:leader="none"/>
        </w:tabs>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27.7. A homologação do resultado desta licitação não implicará direito à contratação.</w:t>
      </w:r>
    </w:p>
    <w:p>
      <w:pPr>
        <w:pStyle w:val="Normal"/>
        <w:tabs>
          <w:tab w:val="clear" w:pos="720"/>
          <w:tab w:val="left" w:pos="637" w:leader="none"/>
        </w:tabs>
        <w:ind w:left="113" w:hanging="0"/>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27.8. Todas as referências de tempo no Edital, no aviso e durante a sessão pública observarão o horário de Brasília – DF.</w:t>
      </w:r>
    </w:p>
    <w:p>
      <w:pPr>
        <w:pStyle w:val="Normal"/>
        <w:tabs>
          <w:tab w:val="clear" w:pos="720"/>
          <w:tab w:val="left" w:pos="637" w:leader="none"/>
        </w:tabs>
        <w:ind w:left="113" w:hanging="0"/>
        <w:jc w:val="both"/>
        <w:rPr>
          <w:rFonts w:ascii="Arial" w:hAnsi="Arial"/>
        </w:rPr>
      </w:pPr>
      <w:r>
        <w:rPr>
          <w:rFonts w:ascii="Arial" w:hAnsi="Arial"/>
        </w:rPr>
      </w:r>
    </w:p>
    <w:p>
      <w:pPr>
        <w:pStyle w:val="Normal"/>
        <w:tabs>
          <w:tab w:val="clear" w:pos="720"/>
          <w:tab w:val="left" w:pos="637" w:leader="none"/>
        </w:tabs>
        <w:jc w:val="both"/>
        <w:rPr>
          <w:rFonts w:ascii="Arial" w:hAnsi="Arial"/>
        </w:rPr>
      </w:pPr>
      <w:r>
        <w:rPr>
          <w:rFonts w:cs="Arial" w:ascii="Arial" w:hAnsi="Arial"/>
        </w:rPr>
        <w:t>27.9. É facultado ao Agente de Contratação/Comissão ou à autoridade competente, em qualquer fase da licitação, promover diligências com vistas a esclarecer ou a complementar a instrução do processo.</w:t>
      </w:r>
    </w:p>
    <w:p>
      <w:pPr>
        <w:pStyle w:val="Normal"/>
        <w:tabs>
          <w:tab w:val="clear" w:pos="720"/>
          <w:tab w:val="left" w:pos="1276" w:leader="none"/>
        </w:tabs>
        <w:jc w:val="both"/>
        <w:rPr>
          <w:rFonts w:ascii="Arial" w:hAnsi="Arial"/>
        </w:rPr>
      </w:pPr>
      <w:r>
        <w:rPr>
          <w:rFonts w:cs="Arial" w:ascii="Arial" w:hAnsi="Arial"/>
          <w:color w:val="000009"/>
        </w:rPr>
        <w:t>27.10. Os licitantes intimados para prestar quaisquer esclarecimentos adicionais deverão fazê-lo no prazo determinado pela comissão, sob pena de desclassificação ou habilitação.</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27.11. O desatendimento de exigências formais não essenciais não importará no afastamento do proponente, desde que seja possível o aproveitamento do ato, observados os princípios da isonomia e do interesse público.</w:t>
      </w:r>
    </w:p>
    <w:p>
      <w:pPr>
        <w:pStyle w:val="Normal"/>
        <w:tabs>
          <w:tab w:val="clear" w:pos="720"/>
          <w:tab w:val="left" w:pos="1276" w:leader="none"/>
        </w:tabs>
        <w:ind w:left="113" w:hanging="0"/>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27.12. Na apreciação da documentação de habilitação e das propostas o Agente de Contratação/Comissão poderá sanar erros ou falhas que não alterem a substância dos documentos e sua validade jurídica, mediante despacho fundamentado, registrado em ata e acessível a todos, atribuindo-lhes validade e eficácia para fins de habilitação e classificação.</w:t>
      </w:r>
    </w:p>
    <w:p>
      <w:pPr>
        <w:pStyle w:val="Normal"/>
        <w:tabs>
          <w:tab w:val="clear" w:pos="720"/>
          <w:tab w:val="left" w:pos="1276" w:leader="none"/>
        </w:tabs>
        <w:ind w:left="113" w:hanging="0"/>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27.13. As normas que disciplinam este certame serão sempre interpretadas em favor da ampliação da disputa entre os proponentes, desde que não comprometam o interesse da Administração, o princípio da isonomia, a finalidade e a segurança da contratação.</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27.14. A autoridade competente para aprovação do procedimento licitatório somente poderá revogá-lo em face de razões de interesse público, por motivo de fato superveniente devidamente comprovado, pertinente e suficiente para justificar tal conduta, devendo anulá-lo por ilegalidade, de ofício ou por provocação de qualquer pessoa, mediante ato escrito e fundamentado.</w:t>
      </w:r>
    </w:p>
    <w:p>
      <w:pPr>
        <w:pStyle w:val="Normal"/>
        <w:tabs>
          <w:tab w:val="clear" w:pos="720"/>
          <w:tab w:val="left" w:pos="1276" w:leader="none"/>
        </w:tabs>
        <w:ind w:left="113" w:hanging="0"/>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27.15. Poderão ser convidados a colaborar com a comissão, assessorando-a, quando necessário, profissionais de reconhecida competência técnica, integrantes ou não dos quadros da administração pública municipal, desde que não vinculados direta ou indiretamente a qualquer dos licitantes.</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27.16. 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27.17. Na contagem dos prazos estabelecidos neste Edital e seus Anexos, excluir-se-á o dia do início e incluir-se-á o do vencimento. Só se iniciam e vencem os prazos em dias de expediente na Administração.</w:t>
      </w:r>
    </w:p>
    <w:p>
      <w:pPr>
        <w:pStyle w:val="Normal"/>
        <w:tabs>
          <w:tab w:val="clear" w:pos="720"/>
          <w:tab w:val="left" w:pos="1276" w:leader="none"/>
        </w:tabs>
        <w:ind w:left="113" w:hanging="0"/>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27.18. Os licitantes assumem todos os custos de preparação e apresentação de suas propostas e a Administração não será, em nenhum caso, responsável por esses custos, independentemente da condução ou do resultado do processo licitatório.</w:t>
      </w:r>
    </w:p>
    <w:p>
      <w:pPr>
        <w:pStyle w:val="Normal"/>
        <w:tabs>
          <w:tab w:val="clear" w:pos="720"/>
          <w:tab w:val="left" w:pos="1276" w:leader="none"/>
        </w:tabs>
        <w:jc w:val="both"/>
        <w:rPr>
          <w:rFonts w:ascii="Arial" w:hAnsi="Arial"/>
        </w:rPr>
      </w:pPr>
      <w:r>
        <w:rPr>
          <w:rFonts w:ascii="Arial" w:hAnsi="Arial"/>
        </w:rPr>
      </w:r>
    </w:p>
    <w:p>
      <w:pPr>
        <w:pStyle w:val="Normal"/>
        <w:tabs>
          <w:tab w:val="clear" w:pos="720"/>
          <w:tab w:val="left" w:pos="1276" w:leader="none"/>
        </w:tabs>
        <w:jc w:val="both"/>
        <w:rPr>
          <w:rFonts w:ascii="Arial" w:hAnsi="Arial"/>
        </w:rPr>
      </w:pPr>
      <w:r>
        <w:rPr>
          <w:rFonts w:cs="Arial" w:ascii="Arial" w:hAnsi="Arial"/>
        </w:rPr>
        <w:t>27.19. Em caso de divergência entre disposições deste Edital e de seus anexos ou demais peças que compõem o processo, prevalecerá as deste Edital.</w:t>
      </w:r>
    </w:p>
    <w:p>
      <w:pPr>
        <w:pStyle w:val="Normal"/>
        <w:tabs>
          <w:tab w:val="clear" w:pos="720"/>
          <w:tab w:val="left" w:pos="1276" w:leader="none"/>
        </w:tabs>
        <w:ind w:left="113" w:hanging="0"/>
        <w:jc w:val="both"/>
        <w:rPr>
          <w:rFonts w:ascii="Arial" w:hAnsi="Arial" w:cs="Arial"/>
        </w:rPr>
      </w:pPr>
      <w:r>
        <w:rPr>
          <w:rFonts w:cs="Arial" w:ascii="Arial" w:hAnsi="Arial"/>
        </w:rPr>
      </w:r>
    </w:p>
    <w:p>
      <w:pPr>
        <w:pStyle w:val="Normal"/>
        <w:tabs>
          <w:tab w:val="clear" w:pos="720"/>
          <w:tab w:val="left" w:pos="1276" w:leader="none"/>
        </w:tabs>
        <w:jc w:val="both"/>
        <w:rPr>
          <w:rFonts w:ascii="Arial" w:hAnsi="Arial"/>
        </w:rPr>
      </w:pPr>
      <w:r>
        <w:rPr>
          <w:rFonts w:cs="Arial" w:ascii="Arial" w:hAnsi="Arial"/>
        </w:rPr>
        <w:t>27.20. Para dirimir controvérsias decorrentes deste certame o foro competente é o da Comarca Aracruz/ES, excluindo-se qualquer outro, por mais especial que seja.</w:t>
      </w:r>
    </w:p>
    <w:p>
      <w:pPr>
        <w:pStyle w:val="Normal"/>
        <w:tabs>
          <w:tab w:val="clear" w:pos="720"/>
          <w:tab w:val="left" w:pos="1276" w:leader="none"/>
        </w:tabs>
        <w:jc w:val="both"/>
        <w:rPr>
          <w:rFonts w:ascii="Arial" w:hAnsi="Arial" w:cs="Arial"/>
          <w:color w:val="000009"/>
        </w:rPr>
      </w:pPr>
      <w:r>
        <w:rPr>
          <w:rFonts w:cs="Arial" w:ascii="Arial" w:hAnsi="Arial"/>
          <w:color w:val="000009"/>
        </w:rPr>
      </w:r>
    </w:p>
    <w:p>
      <w:pPr>
        <w:pStyle w:val="Normal"/>
        <w:tabs>
          <w:tab w:val="clear" w:pos="720"/>
          <w:tab w:val="left" w:pos="1276" w:leader="none"/>
        </w:tabs>
        <w:jc w:val="both"/>
        <w:rPr/>
      </w:pPr>
      <w:r>
        <w:rPr>
          <w:rFonts w:cs="Arial" w:ascii="Arial" w:hAnsi="Arial"/>
          <w:color w:val="000009"/>
        </w:rPr>
        <w:t xml:space="preserve">27.21. O Edital e seus anexos estão disponíveis, na íntegra, no Portal Nacional de Contratações Públicas (PNCP) e endereço eletrônico Bolsa de Licitações do Brasil – BLL (http://bll.org.br/), bem como no endereço </w:t>
      </w:r>
      <w:r>
        <w:rPr>
          <w:rStyle w:val="LinkdaInternet"/>
          <w:rFonts w:eastAsia="Arial" w:cs="Arial" w:ascii="Arial" w:hAnsi="Arial"/>
          <w:color w:val="000009"/>
          <w:spacing w:val="1"/>
        </w:rPr>
        <w:t>http://www.pma.es.gov.br/licitacoes/</w:t>
      </w:r>
    </w:p>
    <w:p>
      <w:pPr>
        <w:pStyle w:val="Normal"/>
        <w:tabs>
          <w:tab w:val="clear" w:pos="720"/>
          <w:tab w:val="left" w:pos="1276" w:leader="none"/>
        </w:tabs>
        <w:jc w:val="both"/>
        <w:rPr>
          <w:rFonts w:ascii="Arial" w:hAnsi="Arial"/>
          <w:spacing w:val="-2"/>
        </w:rPr>
      </w:pPr>
      <w:r>
        <w:rPr>
          <w:rFonts w:ascii="Arial" w:hAnsi="Arial"/>
          <w:spacing w:val="-2"/>
        </w:rPr>
      </w:r>
    </w:p>
    <w:p>
      <w:pPr>
        <w:pStyle w:val="Ttulo1"/>
        <w:tabs>
          <w:tab w:val="clear" w:pos="720"/>
          <w:tab w:val="left" w:pos="466" w:leader="none"/>
        </w:tabs>
        <w:ind w:left="0" w:hanging="0"/>
        <w:jc w:val="both"/>
        <w:rPr>
          <w:sz w:val="22"/>
          <w:szCs w:val="22"/>
        </w:rPr>
      </w:pPr>
      <w:r>
        <w:rPr>
          <w:b w:val="false"/>
          <w:bCs w:val="false"/>
          <w:sz w:val="22"/>
          <w:szCs w:val="22"/>
        </w:rPr>
        <w:t>27.22. Integram este Edital, para todos os fins e efeitos, os seguintes anexos:</w:t>
      </w:r>
    </w:p>
    <w:p>
      <w:pPr>
        <w:pStyle w:val="Corpodotexto"/>
        <w:jc w:val="both"/>
        <w:rPr>
          <w:rFonts w:ascii="Arial" w:hAnsi="Arial"/>
          <w:b/>
          <w:b/>
          <w:sz w:val="22"/>
          <w:szCs w:val="22"/>
        </w:rPr>
      </w:pPr>
      <w:r>
        <w:rPr>
          <w:rFonts w:ascii="Arial" w:hAnsi="Arial"/>
          <w:b/>
          <w:sz w:val="22"/>
          <w:szCs w:val="22"/>
        </w:rPr>
      </w:r>
    </w:p>
    <w:p>
      <w:pPr>
        <w:pStyle w:val="Corpodotexto"/>
        <w:jc w:val="both"/>
        <w:rPr>
          <w:rFonts w:ascii="Arial" w:hAnsi="Arial"/>
          <w:sz w:val="22"/>
          <w:szCs w:val="22"/>
        </w:rPr>
      </w:pPr>
      <w:r>
        <w:rPr>
          <w:rFonts w:cs="Arial" w:ascii="Arial" w:hAnsi="Arial"/>
          <w:iCs/>
          <w:sz w:val="22"/>
          <w:szCs w:val="22"/>
        </w:rPr>
        <w:t>27.22.1. ANEXO I – Termo de Referência;</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27.22.2. ANEXO II - Cronograma Físico-Financeiro;</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27.22.3. ANEXO III - Carta de apresentação da Proposta Comercial;</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27.22.4. ANEXO IV – Planilha de custo sem preços;</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27.22.5. ANEXO V – M</w:t>
      </w:r>
      <w:r>
        <w:rPr>
          <w:rFonts w:cs="Arial" w:ascii="Arial" w:hAnsi="Arial"/>
          <w:iCs/>
          <w:color w:val="000009"/>
          <w:sz w:val="22"/>
          <w:szCs w:val="22"/>
        </w:rPr>
        <w:t>odelo</w:t>
      </w:r>
      <w:r>
        <w:rPr>
          <w:rFonts w:cs="Arial" w:ascii="Arial" w:hAnsi="Arial"/>
          <w:iCs/>
          <w:color w:val="000009"/>
          <w:spacing w:val="-2"/>
          <w:sz w:val="22"/>
          <w:szCs w:val="22"/>
        </w:rPr>
        <w:t xml:space="preserve"> de C</w:t>
      </w:r>
      <w:r>
        <w:rPr>
          <w:rFonts w:cs="Arial" w:ascii="Arial" w:hAnsi="Arial"/>
          <w:iCs/>
          <w:color w:val="000009"/>
          <w:sz w:val="22"/>
          <w:szCs w:val="22"/>
        </w:rPr>
        <w:t>omposição</w:t>
      </w:r>
      <w:r>
        <w:rPr>
          <w:rFonts w:cs="Arial" w:ascii="Arial" w:hAnsi="Arial"/>
          <w:iCs/>
          <w:color w:val="000009"/>
          <w:spacing w:val="1"/>
          <w:sz w:val="22"/>
          <w:szCs w:val="22"/>
        </w:rPr>
        <w:t xml:space="preserve"> A</w:t>
      </w:r>
      <w:r>
        <w:rPr>
          <w:rFonts w:cs="Arial" w:ascii="Arial" w:hAnsi="Arial"/>
          <w:iCs/>
          <w:color w:val="000009"/>
          <w:sz w:val="22"/>
          <w:szCs w:val="22"/>
        </w:rPr>
        <w:t>nalítica</w:t>
      </w:r>
      <w:r>
        <w:rPr>
          <w:rFonts w:cs="Arial" w:ascii="Arial" w:hAnsi="Arial"/>
          <w:iCs/>
          <w:color w:val="000009"/>
          <w:spacing w:val="-1"/>
          <w:sz w:val="22"/>
          <w:szCs w:val="22"/>
        </w:rPr>
        <w:t xml:space="preserve"> </w:t>
      </w:r>
      <w:r>
        <w:rPr>
          <w:rFonts w:cs="Arial" w:ascii="Arial" w:hAnsi="Arial"/>
          <w:iCs/>
          <w:color w:val="000009"/>
          <w:sz w:val="22"/>
          <w:szCs w:val="22"/>
        </w:rPr>
        <w:t>do</w:t>
      </w:r>
      <w:r>
        <w:rPr>
          <w:rFonts w:cs="Arial" w:ascii="Arial" w:hAnsi="Arial"/>
          <w:iCs/>
          <w:color w:val="000009"/>
          <w:spacing w:val="-2"/>
          <w:sz w:val="22"/>
          <w:szCs w:val="22"/>
        </w:rPr>
        <w:t xml:space="preserve"> P</w:t>
      </w:r>
      <w:r>
        <w:rPr>
          <w:rFonts w:cs="Arial" w:ascii="Arial" w:hAnsi="Arial"/>
          <w:iCs/>
          <w:color w:val="000009"/>
          <w:sz w:val="22"/>
          <w:szCs w:val="22"/>
        </w:rPr>
        <w:t>reço</w:t>
      </w:r>
      <w:r>
        <w:rPr>
          <w:rFonts w:cs="Arial" w:ascii="Arial" w:hAnsi="Arial"/>
          <w:iCs/>
          <w:color w:val="000009"/>
          <w:spacing w:val="-3"/>
          <w:sz w:val="22"/>
          <w:szCs w:val="22"/>
        </w:rPr>
        <w:t xml:space="preserve"> U</w:t>
      </w:r>
      <w:r>
        <w:rPr>
          <w:rFonts w:cs="Arial" w:ascii="Arial" w:hAnsi="Arial"/>
          <w:iCs/>
          <w:color w:val="000009"/>
          <w:sz w:val="22"/>
          <w:szCs w:val="22"/>
        </w:rPr>
        <w:t>nitário</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27.22.6. ANEXO VI – C</w:t>
      </w:r>
      <w:r>
        <w:rPr>
          <w:rFonts w:cs="Arial" w:ascii="Arial" w:hAnsi="Arial"/>
          <w:iCs/>
          <w:color w:val="000009"/>
          <w:sz w:val="22"/>
          <w:szCs w:val="22"/>
        </w:rPr>
        <w:t>redenciamento para Visita Técnica</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27.22.7. ANEXO VII – D</w:t>
      </w:r>
      <w:r>
        <w:rPr>
          <w:rFonts w:eastAsia="Arial" w:cs="Arial" w:ascii="Arial" w:hAnsi="Arial"/>
          <w:iCs/>
          <w:color w:val="000009"/>
          <w:spacing w:val="-1"/>
          <w:sz w:val="22"/>
          <w:szCs w:val="22"/>
        </w:rPr>
        <w:t>eclaração de Conhecimento dos Locais e Condições</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27.22.8. ANEXO VIII – Modelo de Declaração de aceitação do Responsável Técnico;</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27.22.9. ANEXO IX – D</w:t>
      </w:r>
      <w:r>
        <w:rPr>
          <w:rFonts w:cs="Arial" w:ascii="Arial" w:hAnsi="Arial"/>
          <w:iCs/>
          <w:color w:val="000009"/>
          <w:spacing w:val="-4"/>
          <w:sz w:val="22"/>
          <w:szCs w:val="22"/>
        </w:rPr>
        <w:t xml:space="preserve">eclaração de Atendimento ao inciso </w:t>
      </w:r>
      <w:r>
        <w:rPr>
          <w:rFonts w:cs="Arial" w:ascii="Arial" w:hAnsi="Arial"/>
          <w:iCs/>
          <w:color w:val="000009"/>
          <w:spacing w:val="17"/>
          <w:w w:val="95"/>
          <w:sz w:val="22"/>
          <w:szCs w:val="22"/>
        </w:rPr>
        <w:t xml:space="preserve">XXXIII </w:t>
      </w:r>
      <w:r>
        <w:rPr>
          <w:rFonts w:cs="Arial" w:ascii="Arial" w:hAnsi="Arial"/>
          <w:iCs/>
          <w:color w:val="000009"/>
          <w:spacing w:val="-4"/>
          <w:sz w:val="22"/>
          <w:szCs w:val="22"/>
        </w:rPr>
        <w:t>do art. 7º da Constituição Federal</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27.22.10. ANEXO X - M</w:t>
      </w:r>
      <w:r>
        <w:rPr>
          <w:rFonts w:cs="Arial" w:ascii="Arial" w:hAnsi="Arial"/>
          <w:iCs/>
          <w:color w:val="000009"/>
          <w:spacing w:val="-4"/>
          <w:sz w:val="22"/>
          <w:szCs w:val="22"/>
        </w:rPr>
        <w:t>odelo de Declaração Unificada</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27.22.12. ANEXO XI – Min</w:t>
      </w:r>
      <w:r>
        <w:rPr>
          <w:rFonts w:cs="Arial" w:ascii="Arial" w:hAnsi="Arial"/>
          <w:iCs/>
          <w:color w:val="000009"/>
          <w:spacing w:val="-1"/>
          <w:sz w:val="22"/>
          <w:szCs w:val="22"/>
        </w:rPr>
        <w:t>uta</w:t>
      </w:r>
      <w:r>
        <w:rPr>
          <w:rFonts w:cs="Arial" w:ascii="Arial" w:hAnsi="Arial"/>
          <w:iCs/>
          <w:color w:val="000009"/>
          <w:spacing w:val="-13"/>
          <w:sz w:val="22"/>
          <w:szCs w:val="22"/>
        </w:rPr>
        <w:t xml:space="preserve"> </w:t>
      </w:r>
      <w:r>
        <w:rPr>
          <w:rFonts w:cs="Arial" w:ascii="Arial" w:hAnsi="Arial"/>
          <w:iCs/>
          <w:color w:val="000009"/>
          <w:spacing w:val="-1"/>
          <w:sz w:val="22"/>
          <w:szCs w:val="22"/>
        </w:rPr>
        <w:t>de</w:t>
      </w:r>
      <w:r>
        <w:rPr>
          <w:rFonts w:cs="Arial" w:ascii="Arial" w:hAnsi="Arial"/>
          <w:iCs/>
          <w:color w:val="000009"/>
          <w:spacing w:val="-7"/>
          <w:sz w:val="22"/>
          <w:szCs w:val="22"/>
        </w:rPr>
        <w:t xml:space="preserve"> Termo de C</w:t>
      </w:r>
      <w:r>
        <w:rPr>
          <w:rFonts w:cs="Arial" w:ascii="Arial" w:hAnsi="Arial"/>
          <w:iCs/>
          <w:color w:val="000009"/>
          <w:spacing w:val="-1"/>
          <w:sz w:val="22"/>
          <w:szCs w:val="22"/>
        </w:rPr>
        <w:t>ontrato</w:t>
      </w:r>
      <w:r>
        <w:rPr>
          <w:rFonts w:cs="Arial" w:ascii="Arial" w:hAnsi="Arial"/>
          <w:iCs/>
          <w:sz w:val="22"/>
          <w:szCs w:val="22"/>
        </w:rPr>
        <w:t>;</w:t>
      </w:r>
    </w:p>
    <w:p>
      <w:pPr>
        <w:pStyle w:val="Corpodotexto"/>
        <w:jc w:val="both"/>
        <w:rPr>
          <w:rFonts w:cs="Arial"/>
          <w:iCs/>
        </w:rPr>
      </w:pPr>
      <w:r>
        <w:rPr>
          <w:rFonts w:cs="Arial"/>
          <w:iCs/>
        </w:rPr>
      </w:r>
    </w:p>
    <w:p>
      <w:pPr>
        <w:pStyle w:val="Corpodotexto"/>
        <w:jc w:val="both"/>
        <w:rPr>
          <w:rFonts w:ascii="Arial" w:hAnsi="Arial"/>
          <w:sz w:val="22"/>
          <w:szCs w:val="22"/>
        </w:rPr>
      </w:pPr>
      <w:r>
        <w:rPr>
          <w:rFonts w:cs="Arial" w:ascii="Arial" w:hAnsi="Arial"/>
          <w:iCs/>
          <w:sz w:val="22"/>
          <w:szCs w:val="22"/>
        </w:rPr>
        <w:t>27.22.13. ANEXO XII – Projetos Executivos, Memoriais, Planilha Orçamentária, Memória de Calculo, BDI e demais informações complementares.</w:t>
      </w:r>
    </w:p>
    <w:p>
      <w:pPr>
        <w:pStyle w:val="Corpodotexto"/>
        <w:jc w:val="both"/>
        <w:rPr>
          <w:rFonts w:cs="Arial"/>
          <w:iCs/>
        </w:rPr>
      </w:pPr>
      <w:r>
        <w:rPr>
          <w:rFonts w:cs="Arial"/>
          <w:iCs/>
        </w:rPr>
      </w:r>
    </w:p>
    <w:p>
      <w:pPr>
        <w:pStyle w:val="Corpodotexto"/>
        <w:rPr/>
      </w:pPr>
      <w:r>
        <w:rPr>
          <w:rFonts w:ascii="Arial" w:hAnsi="Arial"/>
          <w:sz w:val="22"/>
          <w:szCs w:val="22"/>
        </w:rPr>
        <w:t>Aracruz/ES,</w:t>
      </w:r>
      <w:r>
        <w:rPr>
          <w:rFonts w:ascii="Arial" w:hAnsi="Arial"/>
          <w:spacing w:val="-3"/>
          <w:sz w:val="22"/>
          <w:szCs w:val="22"/>
        </w:rPr>
        <w:t xml:space="preserve"> 29 de outubro</w:t>
      </w:r>
      <w:r>
        <w:rPr>
          <w:rFonts w:ascii="Arial" w:hAnsi="Arial"/>
          <w:spacing w:val="-1"/>
          <w:sz w:val="22"/>
          <w:szCs w:val="22"/>
        </w:rPr>
        <w:t xml:space="preserve"> de 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spacing w:before="1" w:after="0"/>
        <w:jc w:val="center"/>
        <w:rPr/>
      </w:pPr>
      <w:r>
        <w:rPr>
          <w:rFonts w:ascii="Arial" w:hAnsi="Arial"/>
          <w:sz w:val="22"/>
          <w:szCs w:val="22"/>
        </w:rPr>
        <w:t xml:space="preserve">      </w:t>
      </w:r>
      <w:r>
        <w:rPr>
          <w:rFonts w:ascii="Arial" w:hAnsi="Arial"/>
          <w:sz w:val="22"/>
          <w:szCs w:val="22"/>
        </w:rPr>
        <w:t>RAFAEL MACHADO BORGO</w:t>
      </w:r>
    </w:p>
    <w:p>
      <w:pPr>
        <w:pStyle w:val="Corpodotexto"/>
        <w:spacing w:before="1" w:after="0"/>
        <w:ind w:left="142" w:hanging="0"/>
        <w:jc w:val="center"/>
        <w:rPr/>
      </w:pPr>
      <w:r>
        <w:rPr>
          <w:rFonts w:ascii="Arial" w:hAnsi="Arial"/>
          <w:sz w:val="22"/>
          <w:szCs w:val="22"/>
        </w:rPr>
        <w:t xml:space="preserve">   </w:t>
      </w:r>
      <w:r>
        <w:rPr>
          <w:rFonts w:ascii="Arial" w:hAnsi="Arial"/>
          <w:sz w:val="22"/>
          <w:szCs w:val="22"/>
        </w:rPr>
        <w:t>Secretária Municipal de Obras</w:t>
      </w:r>
    </w:p>
    <w:p>
      <w:pPr>
        <w:pStyle w:val="Ttulo1"/>
        <w:spacing w:before="93" w:after="0"/>
        <w:ind w:left="2727" w:hanging="0"/>
        <w:jc w:val="center"/>
        <w:rPr>
          <w:sz w:val="22"/>
          <w:szCs w:val="22"/>
        </w:rPr>
      </w:pPr>
      <w:r>
        <w:rPr>
          <w:sz w:val="22"/>
          <w:szCs w:val="22"/>
        </w:rPr>
      </w:r>
    </w:p>
    <w:p>
      <w:pPr>
        <w:pStyle w:val="Ttulo1"/>
        <w:spacing w:before="93" w:after="0"/>
        <w:ind w:left="2727" w:hanging="0"/>
        <w:jc w:val="center"/>
        <w:rPr>
          <w:b w:val="false"/>
          <w:b w:val="false"/>
          <w:bCs w:val="false"/>
        </w:rPr>
      </w:pPr>
      <w:r>
        <w:rPr>
          <w:b w:val="false"/>
          <w:bCs w:val="false"/>
        </w:rPr>
      </w:r>
    </w:p>
    <w:p>
      <w:pPr>
        <w:pStyle w:val="Ttulo1"/>
        <w:spacing w:before="93" w:after="0"/>
        <w:ind w:left="2727" w:hanging="0"/>
        <w:jc w:val="center"/>
        <w:rPr>
          <w:b w:val="false"/>
          <w:b w:val="false"/>
          <w:bCs w:val="false"/>
        </w:rPr>
      </w:pPr>
      <w:r>
        <w:rPr>
          <w:b w:val="false"/>
          <w:bCs w:val="false"/>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 – PROJETO BÁSICO</w:t>
      </w:r>
    </w:p>
    <w:p>
      <w:pPr>
        <w:pStyle w:val="Xwestern"/>
        <w:shd w:val="clear" w:color="auto" w:fill="FFFFFF" w:themeFill="background1"/>
        <w:spacing w:beforeAutospacing="0" w:before="280" w:afterAutospacing="0" w:after="280"/>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cs="Arial"/>
          <w:b/>
          <w:b/>
        </w:rPr>
      </w:pPr>
      <w:r>
        <w:rPr>
          <w:rFonts w:cs="Arial" w:ascii="Arial" w:hAnsi="Arial"/>
          <w:b/>
        </w:rPr>
      </w:r>
    </w:p>
    <w:p>
      <w:pPr>
        <w:pStyle w:val="Normal"/>
        <w:jc w:val="center"/>
        <w:rPr>
          <w:rFonts w:ascii="Arial" w:hAnsi="Arial" w:cs="Arial"/>
          <w:b/>
          <w:b/>
        </w:rPr>
      </w:pPr>
      <w:r>
        <w:rPr>
          <w:rFonts w:cs="Arial" w:ascii="Arial" w:hAnsi="Arial"/>
          <w:b/>
        </w:rPr>
        <w:t>ANEXO II - CRONOGRAMA FÍSICO-FINANCEIRO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ind w:left="2727" w:hanging="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spacing w:before="93" w:after="0"/>
        <w:ind w:left="2727" w:hanging="0"/>
        <w:jc w:val="center"/>
        <w:rPr>
          <w:color w:val="000000" w:themeColor="text1"/>
          <w:sz w:val="22"/>
          <w:szCs w:val="22"/>
        </w:rPr>
      </w:pPr>
      <w:r>
        <w:rPr>
          <w:color w:val="000000" w:themeColor="text1"/>
          <w:sz w:val="22"/>
          <w:szCs w:val="22"/>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jc w:val="center"/>
        <w:rPr>
          <w:rFonts w:ascii="Arial" w:hAnsi="Arial" w:eastAsia="Arial"/>
          <w:b/>
          <w:b/>
        </w:rPr>
      </w:pPr>
      <w:r>
        <w:rPr>
          <w:rFonts w:eastAsia="Arial" w:ascii="Arial" w:hAnsi="Arial"/>
          <w:b/>
        </w:rPr>
      </w:r>
    </w:p>
    <w:p>
      <w:pPr>
        <w:pStyle w:val="Normal"/>
        <w:jc w:val="center"/>
        <w:rPr>
          <w:rFonts w:ascii="Arial" w:hAnsi="Arial" w:eastAsia="Arial"/>
          <w:b/>
          <w:b/>
        </w:rPr>
      </w:pPr>
      <w:r>
        <w:rPr>
          <w:rFonts w:eastAsia="Arial" w:ascii="Arial" w:hAnsi="Arial"/>
          <w:b/>
        </w:rPr>
      </w:r>
    </w:p>
    <w:p>
      <w:pPr>
        <w:pStyle w:val="Normal"/>
        <w:jc w:val="center"/>
        <w:rPr/>
      </w:pPr>
      <w:r>
        <w:rPr>
          <w:rFonts w:eastAsia="Arial" w:ascii="Arial" w:hAnsi="Arial"/>
          <w:b/>
        </w:rPr>
        <w:t xml:space="preserve">ANEXO III - </w:t>
      </w:r>
      <w:r>
        <w:rPr>
          <w:rFonts w:eastAsia="Arial" w:ascii="Arial" w:hAnsi="Arial"/>
          <w:b/>
          <w:color w:val="000009"/>
          <w:spacing w:val="-1"/>
        </w:rPr>
        <w:t>CARTA</w:t>
      </w:r>
      <w:r>
        <w:rPr>
          <w:rFonts w:eastAsia="Arial" w:ascii="Arial" w:hAnsi="Arial"/>
          <w:b/>
          <w:color w:val="000009"/>
          <w:spacing w:val="-13"/>
        </w:rPr>
        <w:t xml:space="preserve"> </w:t>
      </w:r>
      <w:r>
        <w:rPr>
          <w:rFonts w:eastAsia="Arial" w:ascii="Arial" w:hAnsi="Arial"/>
          <w:b/>
          <w:color w:val="000009"/>
          <w:spacing w:val="-1"/>
        </w:rPr>
        <w:t>DE</w:t>
      </w:r>
      <w:r>
        <w:rPr>
          <w:rFonts w:eastAsia="Arial" w:ascii="Arial" w:hAnsi="Arial"/>
          <w:b/>
          <w:color w:val="000009"/>
          <w:spacing w:val="-10"/>
        </w:rPr>
        <w:t xml:space="preserve"> </w:t>
      </w:r>
      <w:r>
        <w:rPr>
          <w:rFonts w:eastAsia="Arial" w:ascii="Arial" w:hAnsi="Arial"/>
          <w:b/>
          <w:color w:val="000009"/>
          <w:spacing w:val="-1"/>
        </w:rPr>
        <w:t>APRESENTAÇÃO</w:t>
      </w:r>
      <w:r>
        <w:rPr>
          <w:rFonts w:eastAsia="Arial" w:ascii="Arial" w:hAnsi="Arial"/>
          <w:b/>
          <w:color w:val="000009"/>
          <w:spacing w:val="-5"/>
        </w:rPr>
        <w:t xml:space="preserve"> </w:t>
      </w:r>
      <w:r>
        <w:rPr>
          <w:rFonts w:eastAsia="Arial" w:ascii="Arial" w:hAnsi="Arial"/>
          <w:b/>
          <w:color w:val="000009"/>
          <w:spacing w:val="-1"/>
        </w:rPr>
        <w:t>DA</w:t>
      </w:r>
      <w:r>
        <w:rPr>
          <w:rFonts w:eastAsia="Arial" w:ascii="Arial" w:hAnsi="Arial"/>
          <w:b/>
          <w:color w:val="000009"/>
          <w:spacing w:val="-13"/>
        </w:rPr>
        <w:t xml:space="preserve"> </w:t>
      </w:r>
      <w:r>
        <w:rPr>
          <w:rFonts w:eastAsia="Arial" w:ascii="Arial" w:hAnsi="Arial"/>
          <w:b/>
          <w:color w:val="000009"/>
          <w:spacing w:val="-1"/>
        </w:rPr>
        <w:t>PROPOSTA</w:t>
      </w:r>
      <w:r>
        <w:rPr>
          <w:rFonts w:eastAsia="Arial" w:ascii="Arial" w:hAnsi="Arial"/>
          <w:b/>
          <w:color w:val="000009"/>
          <w:spacing w:val="-12"/>
        </w:rPr>
        <w:t xml:space="preserve"> </w:t>
      </w:r>
      <w:r>
        <w:rPr>
          <w:rFonts w:eastAsia="Arial" w:ascii="Arial" w:hAnsi="Arial"/>
          <w:b/>
          <w:color w:val="000009"/>
        </w:rPr>
        <w:t>COMERCIAL</w:t>
      </w:r>
    </w:p>
    <w:p>
      <w:pPr>
        <w:pStyle w:val="Normal"/>
        <w:jc w:val="center"/>
        <w:rPr/>
      </w:pPr>
      <w:r>
        <w:rPr/>
      </w:r>
    </w:p>
    <w:p>
      <w:pPr>
        <w:pStyle w:val="Normal"/>
        <w:jc w:val="center"/>
        <w:rPr/>
      </w:pPr>
      <w:r>
        <w:rPr>
          <w:rFonts w:cs="Arial" w:ascii="Arial" w:hAnsi="Arial"/>
          <w:b/>
          <w:bCs/>
        </w:rPr>
        <w:t>CONCORRÊNCIA ELETRÔNICA Nº XXX/2025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115" w:after="0"/>
        <w:ind w:left="2050" w:hanging="0"/>
        <w:rPr>
          <w:color w:val="000009"/>
        </w:rPr>
      </w:pPr>
      <w:r>
        <w:rPr>
          <w:color w:val="000009"/>
        </w:rPr>
      </w:r>
    </w:p>
    <w:p>
      <w:pPr>
        <w:pStyle w:val="Corpodotexto"/>
        <w:rPr>
          <w:sz w:val="22"/>
          <w:szCs w:val="22"/>
        </w:rPr>
      </w:pPr>
      <w:r>
        <w:rPr>
          <w:rFonts w:ascii="Arial" w:hAnsi="Arial"/>
          <w:color w:val="000009"/>
          <w:sz w:val="22"/>
          <w:szCs w:val="22"/>
        </w:rPr>
        <w:t>Local e Data&gt;</w:t>
      </w:r>
      <w:r>
        <w:rPr>
          <w:rFonts w:ascii="Arial" w:hAnsi="Arial"/>
          <w:color w:val="000009"/>
          <w:spacing w:val="-53"/>
          <w:sz w:val="22"/>
          <w:szCs w:val="22"/>
        </w:rPr>
        <w:t xml:space="preserve"> </w:t>
      </w:r>
    </w:p>
    <w:p>
      <w:pPr>
        <w:pStyle w:val="Corpodotexto"/>
        <w:rPr>
          <w:sz w:val="22"/>
          <w:szCs w:val="22"/>
        </w:rPr>
      </w:pPr>
      <w:r>
        <w:rPr>
          <w:rFonts w:ascii="Arial" w:hAnsi="Arial"/>
          <w:color w:val="000009"/>
          <w:sz w:val="22"/>
          <w:szCs w:val="22"/>
        </w:rPr>
        <w:t>Ao</w:t>
      </w:r>
    </w:p>
    <w:p>
      <w:pPr>
        <w:pStyle w:val="Corpodotexto"/>
        <w:jc w:val="both"/>
        <w:rPr>
          <w:sz w:val="22"/>
          <w:szCs w:val="22"/>
        </w:rPr>
      </w:pPr>
      <w:r>
        <w:rPr>
          <w:rFonts w:ascii="Arial" w:hAnsi="Arial"/>
          <w:color w:val="000009"/>
          <w:sz w:val="22"/>
          <w:szCs w:val="22"/>
        </w:rPr>
        <w:t>Município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14"/>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1" w:after="0"/>
        <w:rPr>
          <w:rFonts w:ascii="Arial" w:hAnsi="Arial"/>
          <w:sz w:val="22"/>
          <w:szCs w:val="22"/>
        </w:rPr>
      </w:pPr>
      <w:r>
        <w:rPr>
          <w:rFonts w:ascii="Arial" w:hAnsi="Arial"/>
          <w:sz w:val="22"/>
          <w:szCs w:val="22"/>
        </w:rPr>
      </w:r>
    </w:p>
    <w:p>
      <w:pPr>
        <w:pStyle w:val="Ttulo1"/>
        <w:jc w:val="both"/>
        <w:rPr>
          <w:sz w:val="22"/>
          <w:szCs w:val="22"/>
        </w:rPr>
      </w:pPr>
      <w:r>
        <w:rPr>
          <w:sz w:val="22"/>
          <w:szCs w:val="22"/>
        </w:rPr>
      </w:r>
    </w:p>
    <w:p>
      <w:pPr>
        <w:pStyle w:val="Normal"/>
        <w:jc w:val="both"/>
        <w:rPr/>
      </w:pPr>
      <w:r>
        <w:rPr>
          <w:rFonts w:eastAsia="Times New Roman" w:cs="Arial" w:ascii="Arial" w:hAnsi="Arial"/>
          <w:lang w:eastAsia="pt-BR"/>
        </w:rPr>
        <w:t>(Empresa) _________________________________________, com sede na cidade de ________________________, na ________________ (endereço) _____________, inscrita no C.N.P.J./MF sob o nº ____________________, neste ato representada por _______________________________________, abaixo assinado, declara, para os devidos fins, estar de acordo com as normas constantes do Edital em referência, propondo a execução das obras e serviços nele fixados, de acordo com o orçamento apresentado nas seguintes condições: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O Preço Global Proposto é de R$ ____________ (_______________________________________________), conforme mencionado na planilha anexada à presente proposta, já incluídas todas as despesas necessárias à perfeita execução do objeto, inclusive materiais a serem utilizados, equipamentos, mão-de-obra, todos os encargos trabalhistas e previdenciários, fretes, impostos e taxas de qualquer espécie, tributos em geral e quaisquer outros encargos que incidam ou venham a incidir sobre a execução dos serviços e seus preços, conforme projetos e planilha de custos unitários e totais e cronograma físico-financeiro, no período máximo de ____(número de dias por extenso) dias, nos termos do Edital  nº ____/______ e seus Anexos.</w:t>
      </w:r>
    </w:p>
    <w:p>
      <w:pPr>
        <w:pStyle w:val="Normal"/>
        <w:jc w:val="both"/>
        <w:rPr/>
      </w:pPr>
      <w:r>
        <w:rPr>
          <w:rFonts w:eastAsia="Times New Roman" w:cs="Arial" w:ascii="Arial" w:hAnsi="Arial"/>
          <w:lang w:eastAsia="pt-BR"/>
        </w:rPr>
        <w:tab/>
      </w:r>
    </w:p>
    <w:p>
      <w:pPr>
        <w:pStyle w:val="Normal"/>
        <w:jc w:val="both"/>
        <w:rPr/>
      </w:pPr>
      <w:r>
        <w:rPr>
          <w:rFonts w:eastAsia="Times New Roman" w:cs="Arial" w:ascii="Arial" w:hAnsi="Arial"/>
          <w:lang w:eastAsia="pt-BR"/>
        </w:rPr>
        <w:t>O prazo de validade da proposta é de ___ (número de dias por extenso) consecutivos, a contar da data de apresentação da proposta.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Declaramos ainda, sob as penas da lei, que a documentação apresentada atende plenamente aos requisitos de habilitação, bem como, que não existe fato superveniente impeditivo da participação desta empresa no presente certame.</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Finalizando, declaramos que temos pleno conhecimento de todos os aspectos relativos à licitação em tela, e nossa plena concordância com as condições estabelecidas no Edital da licitação e seus anexos.</w:t>
      </w:r>
    </w:p>
    <w:p>
      <w:pPr>
        <w:pStyle w:val="Normal"/>
        <w:ind w:right="1020" w:hanging="0"/>
        <w:jc w:val="both"/>
        <w:rPr>
          <w:rFonts w:ascii="Arial" w:hAnsi="Arial" w:eastAsia="Times New Roman" w:cs="Arial"/>
          <w:lang w:eastAsia="pt-BR"/>
        </w:rPr>
      </w:pPr>
      <w:r>
        <w:rPr>
          <w:rFonts w:eastAsia="Times New Roman" w:cs="Arial" w:ascii="Arial" w:hAnsi="Arial"/>
          <w:lang w:eastAsia="pt-BR"/>
        </w:rPr>
      </w:r>
    </w:p>
    <w:p>
      <w:pPr>
        <w:pStyle w:val="Normal"/>
        <w:ind w:right="1020" w:hanging="0"/>
        <w:jc w:val="both"/>
        <w:rPr>
          <w:rFonts w:ascii="Arial" w:hAnsi="Arial" w:cs="Arial"/>
        </w:rPr>
      </w:pPr>
      <w:r>
        <w:rPr>
          <w:rFonts w:cs="Arial" w:ascii="Arial" w:hAnsi="Arial"/>
        </w:rPr>
      </w:r>
    </w:p>
    <w:p>
      <w:pPr>
        <w:pStyle w:val="Normal"/>
        <w:spacing w:lineRule="auto" w:line="360"/>
        <w:jc w:val="both"/>
        <w:rPr/>
      </w:pPr>
      <w:r>
        <w:rPr>
          <w:rFonts w:cs="Arial" w:ascii="Arial" w:hAnsi="Arial"/>
        </w:rPr>
        <w:t>Município de _________________________, em ___ de_____________ de______</w:t>
      </w:r>
    </w:p>
    <w:p>
      <w:pPr>
        <w:pStyle w:val="Normal"/>
        <w:tabs>
          <w:tab w:val="clear" w:pos="720"/>
          <w:tab w:val="center" w:pos="4252" w:leader="none"/>
          <w:tab w:val="left" w:pos="5520" w:leader="none"/>
        </w:tabs>
        <w:ind w:left="142" w:right="682" w:hanging="0"/>
        <w:jc w:val="both"/>
        <w:rPr>
          <w:rFonts w:ascii="Arial" w:hAnsi="Arial"/>
        </w:rPr>
      </w:pPr>
      <w:r>
        <w:rPr>
          <w:rFonts w:ascii="Arial" w:hAnsi="Arial"/>
        </w:rPr>
      </w:r>
    </w:p>
    <w:p>
      <w:pPr>
        <w:pStyle w:val="Corpodotexto"/>
        <w:ind w:left="142" w:hanging="0"/>
        <w:rPr>
          <w:sz w:val="22"/>
          <w:szCs w:val="22"/>
        </w:rPr>
      </w:pPr>
      <w:r>
        <w:rPr>
          <w:rFonts w:ascii="Arial" w:hAnsi="Arial"/>
          <w:color w:val="000009"/>
          <w:sz w:val="22"/>
          <w:szCs w:val="22"/>
        </w:rPr>
        <w:t>Atenciosamente,</w:t>
      </w:r>
    </w:p>
    <w:p>
      <w:pPr>
        <w:pStyle w:val="Corpodotexto"/>
        <w:rPr>
          <w:rFonts w:ascii="Arial" w:hAnsi="Arial"/>
        </w:rPr>
      </w:pPr>
      <w:r>
        <w:rPr>
          <w:rFonts w:ascii="Arial" w:hAnsi="Arial"/>
        </w:rPr>
      </w:r>
    </w:p>
    <w:p>
      <w:pPr>
        <w:pStyle w:val="Corpodotexto"/>
        <w:jc w:val="center"/>
        <w:rPr>
          <w:sz w:val="22"/>
          <w:szCs w:val="22"/>
        </w:rPr>
      </w:pPr>
      <w:r>
        <w:rPr>
          <w:rFonts w:ascii="Arial" w:hAnsi="Arial"/>
          <w:sz w:val="22"/>
          <w:szCs w:val="22"/>
        </w:rPr>
        <w:t>____________________________________________</w:t>
      </w:r>
    </w:p>
    <w:p>
      <w:pPr>
        <w:pStyle w:val="Corpodotexto"/>
        <w:numPr>
          <w:ilvl w:val="0"/>
          <w:numId w:val="0"/>
        </w:numPr>
        <w:ind w:left="0" w:hanging="0"/>
        <w:jc w:val="center"/>
        <w:outlineLvl w:val="0"/>
        <w:rPr>
          <w:sz w:val="22"/>
          <w:szCs w:val="22"/>
        </w:rPr>
      </w:pPr>
      <w:r>
        <w:rPr>
          <w:rFonts w:ascii="Arial" w:hAnsi="Arial"/>
          <w:sz w:val="22"/>
          <w:szCs w:val="22"/>
        </w:rPr>
        <w:t>Identificação</w:t>
      </w:r>
      <w:r>
        <w:rPr>
          <w:rFonts w:ascii="Arial" w:hAnsi="Arial"/>
          <w:spacing w:val="-4"/>
          <w:sz w:val="22"/>
          <w:szCs w:val="22"/>
        </w:rPr>
        <w:t xml:space="preserve"> </w:t>
      </w:r>
      <w:r>
        <w:rPr>
          <w:rFonts w:ascii="Arial" w:hAnsi="Arial"/>
          <w:sz w:val="22"/>
          <w:szCs w:val="22"/>
        </w:rPr>
        <w:t>e</w:t>
      </w:r>
      <w:r>
        <w:rPr>
          <w:rFonts w:ascii="Arial" w:hAnsi="Arial"/>
          <w:spacing w:val="-10"/>
          <w:sz w:val="22"/>
          <w:szCs w:val="22"/>
        </w:rPr>
        <w:t xml:space="preserve"> </w:t>
      </w:r>
      <w:r>
        <w:rPr>
          <w:rFonts w:ascii="Arial" w:hAnsi="Arial"/>
          <w:sz w:val="22"/>
          <w:szCs w:val="22"/>
        </w:rPr>
        <w:t>Assinatura</w:t>
      </w:r>
      <w:r>
        <w:rPr>
          <w:rFonts w:ascii="Arial" w:hAnsi="Arial"/>
          <w:spacing w:val="-3"/>
          <w:sz w:val="22"/>
          <w:szCs w:val="22"/>
        </w:rPr>
        <w:t xml:space="preserve"> </w:t>
      </w:r>
      <w:r>
        <w:rPr>
          <w:rFonts w:ascii="Arial" w:hAnsi="Arial"/>
          <w:sz w:val="22"/>
          <w:szCs w:val="22"/>
        </w:rPr>
        <w:t>do</w:t>
      </w:r>
      <w:r>
        <w:rPr>
          <w:rFonts w:ascii="Arial" w:hAnsi="Arial"/>
          <w:spacing w:val="-3"/>
          <w:sz w:val="22"/>
          <w:szCs w:val="22"/>
        </w:rPr>
        <w:t xml:space="preserve"> </w:t>
      </w:r>
      <w:r>
        <w:rPr>
          <w:rFonts w:ascii="Arial" w:hAnsi="Arial"/>
          <w:sz w:val="22"/>
          <w:szCs w:val="22"/>
        </w:rPr>
        <w:t>Representante</w:t>
      </w:r>
      <w:r>
        <w:rPr>
          <w:rFonts w:ascii="Arial" w:hAnsi="Arial"/>
          <w:spacing w:val="-2"/>
          <w:sz w:val="22"/>
          <w:szCs w:val="22"/>
        </w:rPr>
        <w:t xml:space="preserve"> </w:t>
      </w:r>
      <w:r>
        <w:rPr>
          <w:rFonts w:ascii="Arial" w:hAnsi="Arial"/>
          <w:sz w:val="22"/>
          <w:szCs w:val="22"/>
        </w:rPr>
        <w:t>Legal</w:t>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Ttulo1"/>
        <w:spacing w:before="93" w:after="0"/>
        <w:ind w:left="2727" w:hanging="0"/>
        <w:rPr>
          <w:color w:val="000009"/>
          <w:spacing w:val="-1"/>
        </w:rPr>
      </w:pPr>
      <w:r>
        <w:rPr>
          <w:color w:val="000009"/>
          <w:spacing w:val="-1"/>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Normal"/>
        <w:tabs>
          <w:tab w:val="clear" w:pos="720"/>
          <w:tab w:val="center" w:pos="4252" w:leader="none"/>
          <w:tab w:val="left" w:pos="5520" w:leader="none"/>
        </w:tabs>
        <w:jc w:val="center"/>
        <w:rPr>
          <w:rFonts w:ascii="Arial" w:hAnsi="Arial" w:cs="Arial"/>
          <w:b/>
          <w:b/>
        </w:rPr>
      </w:pPr>
      <w:r>
        <w:rPr>
          <w:rFonts w:cs="Arial" w:ascii="Arial" w:hAnsi="Arial"/>
          <w:b/>
        </w:rPr>
        <w:t>ANEXO IV – PLANILHA DE CUSTO SEM PREÇO</w:t>
      </w:r>
    </w:p>
    <w:p>
      <w:pPr>
        <w:pStyle w:val="Normal"/>
        <w:tabs>
          <w:tab w:val="clear" w:pos="720"/>
          <w:tab w:val="center" w:pos="4252" w:leader="none"/>
          <w:tab w:val="left" w:pos="5520" w:leader="none"/>
        </w:tabs>
        <w:jc w:val="center"/>
        <w:rPr>
          <w:rFonts w:ascii="Arial" w:hAnsi="Arial" w:cs="Arial"/>
          <w:b/>
          <w:b/>
        </w:rPr>
      </w:pPr>
      <w:r>
        <w:rPr>
          <w:rFonts w:cs="Arial" w:ascii="Arial" w:hAnsi="Arial"/>
          <w:b/>
        </w:rPr>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t xml:space="preserve">(Arquivo Digital) </w:t>
      </w:r>
    </w:p>
    <w:p>
      <w:pPr>
        <w:pStyle w:val="Xwestern"/>
        <w:shd w:val="clear" w:color="auto" w:fill="FFFFFF" w:themeFill="background1"/>
        <w:spacing w:beforeAutospacing="0" w:before="280" w:afterAutospacing="0" w:after="280"/>
        <w:jc w:val="center"/>
        <w:rPr>
          <w:rFonts w:ascii="Arial" w:hAnsi="Arial" w:cs="Arial"/>
          <w:b/>
          <w:b/>
          <w:sz w:val="22"/>
          <w:szCs w:val="22"/>
        </w:rPr>
      </w:pPr>
      <w:r>
        <w:rPr>
          <w:rFonts w:cs="Arial" w:ascii="Arial" w:hAnsi="Arial"/>
          <w:b/>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Xwestern"/>
        <w:shd w:val="clear" w:color="auto" w:fill="FFFFFF" w:themeFill="background1"/>
        <w:spacing w:beforeAutospacing="0" w:before="280" w:afterAutospacing="0" w:after="280"/>
        <w:jc w:val="center"/>
        <w:rPr>
          <w:rFonts w:ascii="Arial" w:hAnsi="Arial" w:cs="Arial"/>
          <w:b/>
          <w:b/>
          <w:color w:val="000000" w:themeColor="text1"/>
          <w:sz w:val="22"/>
          <w:szCs w:val="22"/>
        </w:rPr>
      </w:pPr>
      <w:r>
        <w:rPr>
          <w:rFonts w:cs="Arial" w:ascii="Arial" w:hAnsi="Arial"/>
          <w:b/>
          <w:color w:val="000000" w:themeColor="text1"/>
          <w:sz w:val="22"/>
          <w:szCs w:val="22"/>
        </w:rPr>
      </w:r>
    </w:p>
    <w:p>
      <w:pPr>
        <w:pStyle w:val="Ttulo1"/>
        <w:spacing w:before="93" w:after="0"/>
        <w:ind w:left="2727" w:hanging="0"/>
        <w:rPr>
          <w:color w:val="000009"/>
          <w:spacing w:val="-1"/>
        </w:rPr>
      </w:pPr>
      <w:r>
        <w:rPr>
          <w:color w:val="000009"/>
          <w:spacing w:val="-1"/>
        </w:rPr>
      </w:r>
    </w:p>
    <w:p>
      <w:pPr>
        <w:pStyle w:val="Xwestern"/>
        <w:shd w:val="clear" w:color="auto" w:fill="FFFFFF" w:themeFill="background1"/>
        <w:spacing w:before="280" w:after="280"/>
        <w:ind w:left="3969" w:hanging="0"/>
        <w:jc w:val="both"/>
        <w:rPr>
          <w:rFonts w:ascii="Arial" w:hAnsi="Arial" w:cs="Arial"/>
          <w:b/>
          <w:b/>
          <w:sz w:val="22"/>
          <w:szCs w:val="22"/>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pacing w:before="93" w:after="0"/>
        <w:ind w:left="0" w:hanging="0"/>
        <w:rPr>
          <w:color w:val="000009"/>
          <w:spacing w:val="-1"/>
        </w:rPr>
      </w:pPr>
      <w:r>
        <w:rPr>
          <w:color w:val="000009"/>
          <w:spacing w:val="-1"/>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t xml:space="preserve">ANEXO V – </w:t>
      </w:r>
      <w:r>
        <w:rPr>
          <w:rFonts w:ascii="Arial" w:hAnsi="Arial"/>
          <w:b/>
          <w:bCs/>
          <w:color w:val="000009"/>
        </w:rPr>
        <w:t>MODELO</w:t>
      </w:r>
      <w:r>
        <w:rPr>
          <w:rFonts w:ascii="Arial" w:hAnsi="Arial"/>
          <w:b/>
          <w:bCs/>
          <w:color w:val="000009"/>
          <w:spacing w:val="-2"/>
        </w:rPr>
        <w:t xml:space="preserve"> DE </w:t>
      </w:r>
      <w:r>
        <w:rPr>
          <w:rFonts w:ascii="Arial" w:hAnsi="Arial"/>
          <w:b/>
          <w:bCs/>
          <w:color w:val="000009"/>
        </w:rPr>
        <w:t>COMPOSIÇÃO</w:t>
      </w:r>
      <w:r>
        <w:rPr>
          <w:rFonts w:ascii="Arial" w:hAnsi="Arial"/>
          <w:b/>
          <w:bCs/>
          <w:color w:val="000009"/>
          <w:spacing w:val="1"/>
        </w:rPr>
        <w:t xml:space="preserve"> </w:t>
      </w:r>
      <w:r>
        <w:rPr>
          <w:rFonts w:ascii="Arial" w:hAnsi="Arial"/>
          <w:b/>
          <w:bCs/>
          <w:color w:val="000009"/>
        </w:rPr>
        <w:t>ANALÍTICA</w:t>
      </w:r>
      <w:r>
        <w:rPr>
          <w:rFonts w:ascii="Arial" w:hAnsi="Arial"/>
          <w:b/>
          <w:bCs/>
          <w:color w:val="000009"/>
          <w:spacing w:val="-1"/>
        </w:rPr>
        <w:t xml:space="preserve"> </w:t>
      </w:r>
      <w:r>
        <w:rPr>
          <w:rFonts w:ascii="Arial" w:hAnsi="Arial"/>
          <w:b/>
          <w:bCs/>
          <w:color w:val="000009"/>
        </w:rPr>
        <w:t>DO</w:t>
      </w:r>
      <w:r>
        <w:rPr>
          <w:rFonts w:ascii="Arial" w:hAnsi="Arial"/>
          <w:b/>
          <w:bCs/>
          <w:color w:val="000009"/>
          <w:spacing w:val="-2"/>
        </w:rPr>
        <w:t xml:space="preserve"> </w:t>
      </w:r>
      <w:r>
        <w:rPr>
          <w:rFonts w:ascii="Arial" w:hAnsi="Arial"/>
          <w:b/>
          <w:bCs/>
          <w:color w:val="000009"/>
        </w:rPr>
        <w:t>PREÇO</w:t>
      </w:r>
      <w:r>
        <w:rPr>
          <w:rFonts w:ascii="Arial" w:hAnsi="Arial"/>
          <w:b/>
          <w:bCs/>
          <w:color w:val="000009"/>
          <w:spacing w:val="-3"/>
        </w:rPr>
        <w:t xml:space="preserve"> </w:t>
      </w:r>
      <w:r>
        <w:rPr>
          <w:rFonts w:ascii="Arial" w:hAnsi="Arial"/>
          <w:b/>
          <w:bCs/>
          <w:color w:val="000009"/>
        </w:rPr>
        <w:t>UNITÁRIO</w:t>
      </w:r>
    </w:p>
    <w:p>
      <w:pPr>
        <w:pStyle w:val="Corpodotexto"/>
        <w:spacing w:before="6" w:after="0"/>
        <w:jc w:val="center"/>
        <w:rPr>
          <w:rFonts w:ascii="Arial" w:hAnsi="Arial"/>
          <w:b/>
          <w:b/>
          <w:bCs/>
        </w:rPr>
      </w:pPr>
      <w:r>
        <w:rPr>
          <w:rFonts w:ascii="Arial" w:hAnsi="Arial"/>
          <w:b/>
          <w:bCs/>
        </w:rPr>
      </w:r>
    </w:p>
    <w:p>
      <w:pPr>
        <w:pStyle w:val="Corpodotexto"/>
        <w:spacing w:before="6" w:after="0"/>
        <w:jc w:val="center"/>
        <w:rPr>
          <w:rFonts w:ascii="Arial" w:hAnsi="Arial"/>
          <w:b/>
          <w:b/>
          <w:bCs/>
        </w:rPr>
      </w:pPr>
      <w:r>
        <w:rPr>
          <w:rFonts w:ascii="Arial" w:hAnsi="Arial"/>
          <w:b/>
          <w:bCs/>
        </w:rPr>
      </w:r>
    </w:p>
    <w:tbl>
      <w:tblPr>
        <w:tblStyle w:val="TableNormal"/>
        <w:tblW w:w="9463" w:type="dxa"/>
        <w:jc w:val="left"/>
        <w:tblInd w:w="137" w:type="dxa"/>
        <w:tblLayout w:type="fixed"/>
        <w:tblCellMar>
          <w:top w:w="0" w:type="dxa"/>
          <w:left w:w="5" w:type="dxa"/>
          <w:bottom w:w="0" w:type="dxa"/>
          <w:right w:w="5" w:type="dxa"/>
        </w:tblCellMar>
        <w:tblLook w:firstRow="1" w:noVBand="0" w:lastRow="1" w:firstColumn="1" w:lastColumn="1" w:noHBand="0" w:val="01e0"/>
      </w:tblPr>
      <w:tblGrid>
        <w:gridCol w:w="1180"/>
        <w:gridCol w:w="2769"/>
        <w:gridCol w:w="987"/>
        <w:gridCol w:w="2072"/>
        <w:gridCol w:w="1422"/>
        <w:gridCol w:w="10"/>
        <w:gridCol w:w="1022"/>
      </w:tblGrid>
      <w:tr>
        <w:trPr>
          <w:trHeight w:val="4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851" w:hanging="0"/>
              <w:jc w:val="center"/>
              <w:rPr>
                <w:rFonts w:ascii="Arial" w:hAnsi="Arial"/>
                <w:b/>
                <w:b/>
                <w:sz w:val="20"/>
                <w:szCs w:val="20"/>
              </w:rPr>
            </w:pPr>
            <w:r>
              <w:rPr>
                <w:rFonts w:ascii="Arial" w:hAnsi="Arial"/>
                <w:b/>
                <w:color w:val="000009"/>
                <w:kern w:val="0"/>
                <w:sz w:val="20"/>
                <w:szCs w:val="20"/>
                <w:lang w:eastAsia="en-US" w:bidi="ar-SA"/>
              </w:rPr>
              <w:t>MODELO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COMPOSIÇÃO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ANALÍTICA</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8" w:hanging="0"/>
              <w:jc w:val="center"/>
              <w:rPr>
                <w:rFonts w:ascii="Arial" w:hAnsi="Arial"/>
                <w:b/>
                <w:b/>
                <w:sz w:val="20"/>
                <w:szCs w:val="20"/>
              </w:rPr>
            </w:pPr>
            <w:r>
              <w:rPr>
                <w:rFonts w:ascii="Arial" w:hAnsi="Arial"/>
                <w:b/>
                <w:color w:val="000009"/>
                <w:kern w:val="0"/>
                <w:sz w:val="20"/>
                <w:szCs w:val="20"/>
                <w:lang w:eastAsia="en-US" w:bidi="ar-SA"/>
              </w:rPr>
              <w:t>SERVIÇO:</w:t>
            </w:r>
          </w:p>
        </w:tc>
        <w:tc>
          <w:tcPr>
            <w:tcW w:w="5828"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385" w:hanging="0"/>
              <w:jc w:val="left"/>
              <w:rPr>
                <w:rFonts w:ascii="Arial" w:hAnsi="Arial"/>
                <w:b/>
                <w:b/>
                <w:sz w:val="20"/>
                <w:szCs w:val="20"/>
              </w:rPr>
            </w:pPr>
            <w:r>
              <w:rPr>
                <w:rFonts w:ascii="Arial" w:hAnsi="Arial"/>
                <w:b/>
                <w:color w:val="000009"/>
                <w:kern w:val="0"/>
                <w:sz w:val="20"/>
                <w:szCs w:val="20"/>
                <w:lang w:eastAsia="en-US" w:bidi="ar-SA"/>
              </w:rPr>
              <w:t>UNIDADE:</w:t>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850" w:hanging="0"/>
              <w:jc w:val="center"/>
              <w:rPr>
                <w:rFonts w:ascii="Arial" w:hAnsi="Arial"/>
                <w:b/>
                <w:b/>
                <w:sz w:val="20"/>
                <w:szCs w:val="20"/>
              </w:rPr>
            </w:pPr>
            <w:r>
              <w:rPr>
                <w:rFonts w:ascii="Arial" w:hAnsi="Arial"/>
                <w:b/>
                <w:color w:val="000009"/>
                <w:kern w:val="0"/>
                <w:sz w:val="20"/>
                <w:szCs w:val="20"/>
                <w:lang w:eastAsia="en-US" w:bidi="ar-SA"/>
              </w:rPr>
              <w:t>A</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Mão</w:t>
            </w:r>
            <w:r>
              <w:rPr>
                <w:rFonts w:ascii="Arial" w:hAnsi="Arial"/>
                <w:b/>
                <w:color w:val="000009"/>
                <w:spacing w:val="-1"/>
                <w:kern w:val="0"/>
                <w:sz w:val="20"/>
                <w:szCs w:val="20"/>
                <w:lang w:eastAsia="en-US" w:bidi="ar-SA"/>
              </w:rPr>
              <w:t xml:space="preserve"> </w:t>
            </w:r>
            <w:r>
              <w:rPr>
                <w:rFonts w:ascii="Arial" w:hAnsi="Arial"/>
                <w:b/>
                <w:color w:val="000009"/>
                <w:kern w:val="0"/>
                <w:sz w:val="20"/>
                <w:szCs w:val="20"/>
                <w:lang w:eastAsia="en-US" w:bidi="ar-SA"/>
              </w:rPr>
              <w:t>de</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Obra</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74" w:hanging="0"/>
              <w:jc w:val="center"/>
              <w:rPr>
                <w:rFonts w:ascii="Arial" w:hAnsi="Arial"/>
                <w:sz w:val="20"/>
                <w:szCs w:val="20"/>
              </w:rPr>
            </w:pPr>
            <w:r>
              <w:rPr>
                <w:rFonts w:ascii="Arial" w:hAnsi="Arial"/>
                <w:color w:val="000009"/>
                <w:kern w:val="0"/>
                <w:sz w:val="20"/>
                <w:szCs w:val="20"/>
                <w:lang w:eastAsia="en-US" w:bidi="ar-SA"/>
              </w:rPr>
              <w:t>Item</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58"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16" w:hanging="0"/>
              <w:jc w:val="left"/>
              <w:rPr>
                <w:rFonts w:ascii="Arial" w:hAnsi="Arial"/>
                <w:sz w:val="20"/>
                <w:szCs w:val="20"/>
              </w:rPr>
            </w:pPr>
            <w:r>
              <w:rPr>
                <w:rFonts w:ascii="Arial" w:hAnsi="Arial"/>
                <w:color w:val="000009"/>
                <w:kern w:val="0"/>
                <w:sz w:val="20"/>
                <w:szCs w:val="20"/>
                <w:lang w:eastAsia="en-US" w:bidi="ar-SA"/>
              </w:rPr>
              <w:t>Unidade</w:t>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8"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05" w:right="202"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4936"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967" w:hanging="0"/>
              <w:jc w:val="left"/>
              <w:rPr>
                <w:rFonts w:ascii="Arial" w:hAnsi="Arial"/>
                <w:sz w:val="20"/>
                <w:szCs w:val="20"/>
              </w:rPr>
            </w:pP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Mão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Obra:</w:t>
            </w:r>
          </w:p>
        </w:tc>
        <w:tc>
          <w:tcPr>
            <w:tcW w:w="4526"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1" w:right="1793" w:hanging="0"/>
              <w:jc w:val="center"/>
              <w:rPr>
                <w:rFonts w:ascii="Arial" w:hAnsi="Arial"/>
                <w:b/>
                <w:b/>
                <w:sz w:val="20"/>
                <w:szCs w:val="20"/>
              </w:rPr>
            </w:pPr>
            <w:r>
              <w:rPr>
                <w:rFonts w:ascii="Arial" w:hAnsi="Arial"/>
                <w:b/>
                <w:color w:val="000009"/>
                <w:kern w:val="0"/>
                <w:sz w:val="20"/>
                <w:szCs w:val="20"/>
                <w:lang w:eastAsia="en-US" w:bidi="ar-SA"/>
              </w:rPr>
              <w:t>B</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Equipamentos</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4936"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857" w:hanging="0"/>
              <w:jc w:val="left"/>
              <w:rPr>
                <w:rFonts w:ascii="Arial" w:hAnsi="Arial"/>
                <w:sz w:val="20"/>
                <w:szCs w:val="20"/>
              </w:rPr>
            </w:pPr>
            <w:r>
              <w:rPr>
                <w:rFonts w:ascii="Arial" w:hAnsi="Arial"/>
                <w:color w:val="000009"/>
                <w:kern w:val="0"/>
                <w:sz w:val="20"/>
                <w:szCs w:val="20"/>
                <w:lang w:eastAsia="en-US" w:bidi="ar-SA"/>
              </w:rPr>
              <w:t>B</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de Equipamentos:</w:t>
            </w:r>
          </w:p>
        </w:tc>
        <w:tc>
          <w:tcPr>
            <w:tcW w:w="4526"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3"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851" w:right="1794" w:hanging="0"/>
              <w:jc w:val="center"/>
              <w:rPr>
                <w:rFonts w:ascii="Arial" w:hAnsi="Arial"/>
                <w:b/>
                <w:b/>
                <w:sz w:val="20"/>
                <w:szCs w:val="20"/>
              </w:rPr>
            </w:pPr>
            <w:r>
              <w:rPr>
                <w:rFonts w:ascii="Arial" w:hAnsi="Arial"/>
                <w:b/>
                <w:color w:val="000009"/>
                <w:kern w:val="0"/>
                <w:sz w:val="20"/>
                <w:szCs w:val="20"/>
                <w:lang w:eastAsia="en-US" w:bidi="ar-SA"/>
              </w:rPr>
              <w:t>C</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Materiais</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4936"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311" w:hanging="0"/>
              <w:jc w:val="left"/>
              <w:rPr>
                <w:rFonts w:ascii="Arial" w:hAnsi="Arial"/>
                <w:sz w:val="20"/>
                <w:szCs w:val="20"/>
              </w:rPr>
            </w:pPr>
            <w:r>
              <w:rPr>
                <w:rFonts w:ascii="Arial" w:hAnsi="Arial"/>
                <w:color w:val="000009"/>
                <w:kern w:val="0"/>
                <w:sz w:val="20"/>
                <w:szCs w:val="20"/>
                <w:lang w:eastAsia="en-US" w:bidi="ar-SA"/>
              </w:rPr>
              <w:t>C</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 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Materiais:</w:t>
            </w:r>
          </w:p>
        </w:tc>
        <w:tc>
          <w:tcPr>
            <w:tcW w:w="4526"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851" w:right="1795" w:hanging="0"/>
              <w:jc w:val="center"/>
              <w:rPr>
                <w:rFonts w:ascii="Arial" w:hAnsi="Arial"/>
                <w:b/>
                <w:b/>
                <w:sz w:val="20"/>
                <w:szCs w:val="20"/>
              </w:rPr>
            </w:pPr>
            <w:r>
              <w:rPr>
                <w:rFonts w:ascii="Arial" w:hAnsi="Arial"/>
                <w:b/>
                <w:color w:val="000009"/>
                <w:kern w:val="0"/>
                <w:sz w:val="20"/>
                <w:szCs w:val="20"/>
                <w:lang w:eastAsia="en-US" w:bidi="ar-SA"/>
              </w:rPr>
              <w:t>D</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Outros</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784" w:hanging="0"/>
              <w:jc w:val="left"/>
              <w:rPr>
                <w:rFonts w:ascii="Arial" w:hAnsi="Arial"/>
                <w:sz w:val="20"/>
                <w:szCs w:val="20"/>
              </w:rPr>
            </w:pPr>
            <w:r>
              <w:rPr>
                <w:rFonts w:ascii="Arial" w:hAnsi="Arial"/>
                <w:color w:val="000009"/>
                <w:kern w:val="0"/>
                <w:sz w:val="20"/>
                <w:szCs w:val="20"/>
                <w:lang w:eastAsia="en-US" w:bidi="ar-SA"/>
              </w:rPr>
              <w:t>Discriminação</w:t>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43" w:hanging="0"/>
              <w:jc w:val="left"/>
              <w:rPr>
                <w:rFonts w:ascii="Arial" w:hAnsi="Arial"/>
                <w:sz w:val="20"/>
                <w:szCs w:val="20"/>
              </w:rPr>
            </w:pPr>
            <w:r>
              <w:rPr>
                <w:rFonts w:ascii="Arial" w:hAnsi="Arial"/>
                <w:color w:val="000009"/>
                <w:kern w:val="0"/>
                <w:sz w:val="20"/>
                <w:szCs w:val="20"/>
                <w:lang w:eastAsia="en-US" w:bidi="ar-SA"/>
              </w:rPr>
              <w:t>Unidade</w:t>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24" w:hanging="0"/>
              <w:jc w:val="left"/>
              <w:rPr>
                <w:rFonts w:ascii="Arial" w:hAnsi="Arial"/>
                <w:sz w:val="20"/>
                <w:szCs w:val="20"/>
              </w:rPr>
            </w:pPr>
            <w:r>
              <w:rPr>
                <w:rFonts w:ascii="Arial" w:hAnsi="Arial"/>
                <w:color w:val="000009"/>
                <w:kern w:val="0"/>
                <w:sz w:val="20"/>
                <w:szCs w:val="20"/>
                <w:lang w:eastAsia="en-US" w:bidi="ar-SA"/>
              </w:rPr>
              <w:t>Preço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por</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Unidade</w:t>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15" w:hanging="0"/>
              <w:jc w:val="left"/>
              <w:rPr>
                <w:rFonts w:ascii="Arial" w:hAnsi="Arial"/>
                <w:sz w:val="20"/>
                <w:szCs w:val="20"/>
              </w:rPr>
            </w:pPr>
            <w:r>
              <w:rPr>
                <w:rFonts w:ascii="Arial" w:hAnsi="Arial"/>
                <w:color w:val="000009"/>
                <w:kern w:val="0"/>
                <w:sz w:val="20"/>
                <w:szCs w:val="20"/>
                <w:lang w:eastAsia="en-US" w:bidi="ar-SA"/>
              </w:rPr>
              <w:t>Coeficiente</w:t>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231" w:right="176" w:hanging="0"/>
              <w:jc w:val="center"/>
              <w:rPr>
                <w:rFonts w:ascii="Arial" w:hAnsi="Arial"/>
                <w:sz w:val="20"/>
                <w:szCs w:val="20"/>
              </w:rPr>
            </w:pPr>
            <w:r>
              <w:rPr>
                <w:rFonts w:ascii="Arial" w:hAnsi="Arial"/>
                <w:color w:val="000009"/>
                <w:kern w:val="0"/>
                <w:sz w:val="20"/>
                <w:szCs w:val="20"/>
                <w:lang w:eastAsia="en-US" w:bidi="ar-SA"/>
              </w:rPr>
              <w:t>Custo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987"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07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4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2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4936"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2522" w:hanging="0"/>
              <w:jc w:val="left"/>
              <w:rPr>
                <w:rFonts w:ascii="Arial" w:hAnsi="Arial"/>
                <w:sz w:val="20"/>
                <w:szCs w:val="20"/>
              </w:rPr>
            </w:pPr>
            <w:r>
              <w:rPr>
                <w:rFonts w:ascii="Arial" w:hAnsi="Arial"/>
                <w:color w:val="000009"/>
                <w:kern w:val="0"/>
                <w:sz w:val="20"/>
                <w:szCs w:val="20"/>
                <w:lang w:eastAsia="en-US" w:bidi="ar-SA"/>
              </w:rPr>
              <w:t>D</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Custo</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 Outros:</w:t>
            </w:r>
          </w:p>
        </w:tc>
        <w:tc>
          <w:tcPr>
            <w:tcW w:w="4526" w:type="dxa"/>
            <w:gridSpan w:val="4"/>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2705" w:right="2648" w:hanging="0"/>
              <w:jc w:val="center"/>
              <w:rPr>
                <w:rFonts w:ascii="Arial" w:hAnsi="Arial"/>
                <w:b/>
                <w:b/>
                <w:sz w:val="20"/>
                <w:szCs w:val="20"/>
              </w:rPr>
            </w:pPr>
            <w:r>
              <w:rPr>
                <w:rFonts w:ascii="Arial" w:hAnsi="Arial"/>
                <w:b/>
                <w:color w:val="000009"/>
                <w:kern w:val="0"/>
                <w:sz w:val="20"/>
                <w:szCs w:val="20"/>
                <w:lang w:eastAsia="en-US" w:bidi="ar-SA"/>
              </w:rPr>
              <w:t>Resumo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da Composição do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Custo</w:t>
            </w:r>
            <w:r>
              <w:rPr>
                <w:rFonts w:ascii="Arial" w:hAnsi="Arial"/>
                <w:b/>
                <w:color w:val="000009"/>
                <w:spacing w:val="-2"/>
                <w:kern w:val="0"/>
                <w:sz w:val="20"/>
                <w:szCs w:val="20"/>
                <w:lang w:eastAsia="en-US" w:bidi="ar-SA"/>
              </w:rPr>
              <w:t xml:space="preserve"> </w:t>
            </w:r>
            <w:r>
              <w:rPr>
                <w:rFonts w:ascii="Arial" w:hAnsi="Arial"/>
                <w:b/>
                <w:color w:val="000009"/>
                <w:kern w:val="0"/>
                <w:sz w:val="20"/>
                <w:szCs w:val="20"/>
                <w:lang w:eastAsia="en-US" w:bidi="ar-SA"/>
              </w:rPr>
              <w:t>Unitário</w:t>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1" w:hanging="0"/>
              <w:jc w:val="center"/>
              <w:rPr>
                <w:rFonts w:ascii="Arial" w:hAnsi="Arial"/>
                <w:sz w:val="20"/>
                <w:szCs w:val="20"/>
              </w:rPr>
            </w:pPr>
            <w:r>
              <w:rPr>
                <w:rFonts w:ascii="Arial" w:hAnsi="Arial"/>
                <w:color w:val="000009"/>
                <w:kern w:val="0"/>
                <w:sz w:val="20"/>
                <w:szCs w:val="20"/>
                <w:lang w:eastAsia="en-US" w:bidi="ar-SA"/>
              </w:rPr>
              <w:t>Item</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Descrição</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Custo</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A</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Obra</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81" w:right="22" w:hanging="0"/>
              <w:jc w:val="center"/>
              <w:rPr>
                <w:rFonts w:ascii="Arial" w:hAnsi="Arial"/>
                <w:sz w:val="20"/>
                <w:szCs w:val="20"/>
              </w:rPr>
            </w:pPr>
            <w:r>
              <w:rPr>
                <w:rFonts w:ascii="Arial" w:hAnsi="Arial"/>
                <w:color w:val="000009"/>
                <w:kern w:val="0"/>
                <w:sz w:val="20"/>
                <w:szCs w:val="20"/>
                <w:lang w:eastAsia="en-US" w:bidi="ar-SA"/>
              </w:rPr>
              <w:t>A1</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Encargos</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Sociais</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0" w:hanging="0"/>
              <w:jc w:val="center"/>
              <w:rPr>
                <w:rFonts w:ascii="Arial" w:hAnsi="Arial"/>
                <w:sz w:val="20"/>
                <w:szCs w:val="20"/>
              </w:rPr>
            </w:pPr>
            <w:r>
              <w:rPr>
                <w:rFonts w:ascii="Arial" w:hAnsi="Arial"/>
                <w:color w:val="000009"/>
                <w:w w:val="99"/>
                <w:kern w:val="0"/>
                <w:sz w:val="20"/>
                <w:szCs w:val="20"/>
                <w:lang w:eastAsia="en-US" w:bidi="ar-SA"/>
              </w:rPr>
              <w:t>B</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Equipamentos</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B]</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C</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Materiais</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C]</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2"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62" w:hanging="0"/>
              <w:jc w:val="center"/>
              <w:rPr>
                <w:rFonts w:ascii="Arial" w:hAnsi="Arial"/>
                <w:sz w:val="20"/>
                <w:szCs w:val="20"/>
              </w:rPr>
            </w:pPr>
            <w:r>
              <w:rPr>
                <w:rFonts w:ascii="Arial" w:hAnsi="Arial"/>
                <w:color w:val="000009"/>
                <w:w w:val="99"/>
                <w:kern w:val="0"/>
                <w:sz w:val="20"/>
                <w:szCs w:val="20"/>
                <w:lang w:eastAsia="en-US" w:bidi="ar-SA"/>
              </w:rPr>
              <w:t>D</w:t>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Outros</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29" w:before="0" w:after="0"/>
              <w:ind w:left="124" w:hanging="0"/>
              <w:jc w:val="left"/>
              <w:rPr>
                <w:rFonts w:ascii="Arial" w:hAnsi="Arial"/>
                <w:sz w:val="20"/>
                <w:szCs w:val="20"/>
              </w:rPr>
            </w:pPr>
            <w:r>
              <w:rPr>
                <w:rFonts w:ascii="Arial" w:hAnsi="Arial"/>
                <w:color w:val="000009"/>
                <w:kern w:val="0"/>
                <w:sz w:val="20"/>
                <w:szCs w:val="20"/>
                <w:lang w:eastAsia="en-US" w:bidi="ar-SA"/>
              </w:rPr>
              <w:t>[transportar</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subtotal</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2" w:after="0"/>
              <w:ind w:left="124" w:hanging="0"/>
              <w:jc w:val="left"/>
              <w:rPr>
                <w:rFonts w:ascii="Arial" w:hAnsi="Arial"/>
                <w:sz w:val="20"/>
                <w:szCs w:val="20"/>
              </w:rPr>
            </w:pPr>
            <w:r>
              <w:rPr>
                <w:rFonts w:ascii="Arial" w:hAnsi="Arial"/>
                <w:color w:val="000009"/>
                <w:kern w:val="0"/>
                <w:sz w:val="20"/>
                <w:szCs w:val="20"/>
                <w:lang w:eastAsia="en-US" w:bidi="ar-SA"/>
              </w:rPr>
              <w:t>BDI</w:t>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465" w:hRule="atLeast"/>
        </w:trPr>
        <w:tc>
          <w:tcPr>
            <w:tcW w:w="118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276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c>
          <w:tcPr>
            <w:tcW w:w="448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4" w:hanging="0"/>
              <w:jc w:val="left"/>
              <w:rPr>
                <w:rFonts w:ascii="Arial" w:hAnsi="Arial"/>
                <w:b/>
                <w:b/>
                <w:sz w:val="20"/>
                <w:szCs w:val="20"/>
              </w:rPr>
            </w:pPr>
            <w:r>
              <w:rPr>
                <w:rFonts w:ascii="Arial" w:hAnsi="Arial"/>
                <w:b/>
                <w:color w:val="000009"/>
                <w:kern w:val="0"/>
                <w:sz w:val="20"/>
                <w:szCs w:val="20"/>
                <w:lang w:eastAsia="en-US" w:bidi="ar-SA"/>
              </w:rPr>
              <w:t>Preço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Unitário</w:t>
            </w:r>
            <w:r>
              <w:rPr>
                <w:rFonts w:ascii="Arial" w:hAnsi="Arial"/>
                <w:b/>
                <w:color w:val="000009"/>
                <w:spacing w:val="-3"/>
                <w:kern w:val="0"/>
                <w:sz w:val="20"/>
                <w:szCs w:val="20"/>
                <w:lang w:eastAsia="en-US" w:bidi="ar-SA"/>
              </w:rPr>
              <w:t xml:space="preserve"> </w:t>
            </w:r>
            <w:r>
              <w:rPr>
                <w:rFonts w:ascii="Arial" w:hAnsi="Arial"/>
                <w:b/>
                <w:color w:val="000009"/>
                <w:kern w:val="0"/>
                <w:sz w:val="20"/>
                <w:szCs w:val="20"/>
                <w:lang w:eastAsia="en-US" w:bidi="ar-SA"/>
              </w:rPr>
              <w:t>:</w:t>
            </w:r>
          </w:p>
        </w:tc>
        <w:tc>
          <w:tcPr>
            <w:tcW w:w="1032"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jc w:val="left"/>
              <w:rPr>
                <w:rFonts w:ascii="Arial" w:hAnsi="Arial"/>
                <w:sz w:val="20"/>
                <w:szCs w:val="20"/>
              </w:rPr>
            </w:pPr>
            <w:r>
              <w:rPr>
                <w:rFonts w:ascii="Arial" w:hAnsi="Arial"/>
                <w:sz w:val="20"/>
                <w:szCs w:val="20"/>
              </w:rPr>
            </w:r>
          </w:p>
        </w:tc>
      </w:tr>
      <w:tr>
        <w:trPr>
          <w:trHeight w:val="573"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54" w:after="0"/>
              <w:ind w:left="69" w:hanging="0"/>
              <w:jc w:val="left"/>
              <w:rPr>
                <w:rFonts w:ascii="Arial" w:hAnsi="Arial"/>
                <w:sz w:val="20"/>
                <w:szCs w:val="20"/>
              </w:rPr>
            </w:pPr>
            <w:r>
              <w:rPr>
                <w:rFonts w:ascii="Arial" w:hAnsi="Arial"/>
                <w:color w:val="000009"/>
                <w:kern w:val="0"/>
                <w:sz w:val="20"/>
                <w:szCs w:val="20"/>
                <w:lang w:eastAsia="en-US" w:bidi="ar-SA"/>
              </w:rPr>
              <w:t>Observações:</w:t>
            </w:r>
          </w:p>
        </w:tc>
      </w:tr>
      <w:tr>
        <w:trPr>
          <w:trHeight w:val="565"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45" w:after="0"/>
              <w:ind w:left="69" w:hanging="0"/>
              <w:jc w:val="left"/>
              <w:rPr>
                <w:rFonts w:ascii="Arial" w:hAnsi="Arial"/>
                <w:sz w:val="20"/>
                <w:szCs w:val="20"/>
              </w:rPr>
            </w:pPr>
            <w:r>
              <w:rPr>
                <w:rFonts w:ascii="Arial" w:hAnsi="Arial"/>
                <w:color w:val="000009"/>
                <w:kern w:val="0"/>
                <w:sz w:val="20"/>
                <w:szCs w:val="20"/>
                <w:lang w:eastAsia="en-US" w:bidi="ar-SA"/>
              </w:rPr>
              <w:t>1)</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ser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apresentadas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composições</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detalhadas</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dos Encargos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Sociais e</w:t>
            </w:r>
            <w:r>
              <w:rPr>
                <w:rFonts w:ascii="Arial" w:hAnsi="Arial"/>
                <w:color w:val="000009"/>
                <w:spacing w:val="-4"/>
                <w:kern w:val="0"/>
                <w:sz w:val="20"/>
                <w:szCs w:val="20"/>
                <w:lang w:eastAsia="en-US" w:bidi="ar-SA"/>
              </w:rPr>
              <w:t xml:space="preserve"> </w:t>
            </w:r>
            <w:r>
              <w:rPr>
                <w:rFonts w:ascii="Arial" w:hAnsi="Arial"/>
                <w:color w:val="000009"/>
                <w:kern w:val="0"/>
                <w:sz w:val="20"/>
                <w:szCs w:val="20"/>
                <w:lang w:eastAsia="en-US" w:bidi="ar-SA"/>
              </w:rPr>
              <w:t>BDI,</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em</w:t>
            </w:r>
            <w:r>
              <w:rPr>
                <w:rFonts w:ascii="Arial" w:hAnsi="Arial"/>
                <w:color w:val="000009"/>
                <w:spacing w:val="-3"/>
                <w:kern w:val="0"/>
                <w:sz w:val="20"/>
                <w:szCs w:val="20"/>
                <w:lang w:eastAsia="en-US" w:bidi="ar-SA"/>
              </w:rPr>
              <w:t xml:space="preserve"> </w:t>
            </w:r>
            <w:r>
              <w:rPr>
                <w:rFonts w:ascii="Arial" w:hAnsi="Arial"/>
                <w:color w:val="000009"/>
                <w:kern w:val="0"/>
                <w:sz w:val="20"/>
                <w:szCs w:val="20"/>
                <w:lang w:eastAsia="en-US" w:bidi="ar-SA"/>
              </w:rPr>
              <w:t>percentual.</w:t>
            </w:r>
          </w:p>
        </w:tc>
      </w:tr>
      <w:tr>
        <w:trPr>
          <w:trHeight w:val="827"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hanging="0"/>
              <w:jc w:val="left"/>
              <w:rPr>
                <w:rFonts w:ascii="Arial" w:hAnsi="Arial"/>
                <w:sz w:val="20"/>
                <w:szCs w:val="20"/>
              </w:rPr>
            </w:pPr>
            <w:r>
              <w:rPr>
                <w:rFonts w:ascii="Arial" w:hAnsi="Arial"/>
                <w:color w:val="000009"/>
                <w:kern w:val="0"/>
                <w:sz w:val="20"/>
                <w:szCs w:val="20"/>
                <w:lang w:eastAsia="en-US" w:bidi="ar-SA"/>
              </w:rPr>
              <w:t>2)</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Nos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custos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deverão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estar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incluídos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transportes,</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materiais</w:t>
            </w:r>
            <w:r>
              <w:rPr>
                <w:rFonts w:ascii="Arial" w:hAnsi="Arial"/>
                <w:color w:val="000009"/>
                <w:spacing w:val="15"/>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0"/>
                <w:kern w:val="0"/>
                <w:sz w:val="20"/>
                <w:szCs w:val="20"/>
                <w:lang w:eastAsia="en-US" w:bidi="ar-SA"/>
              </w:rPr>
              <w:t xml:space="preserve"> </w:t>
            </w:r>
            <w:r>
              <w:rPr>
                <w:rFonts w:ascii="Arial" w:hAnsi="Arial"/>
                <w:color w:val="000009"/>
                <w:kern w:val="0"/>
                <w:sz w:val="20"/>
                <w:szCs w:val="20"/>
                <w:lang w:eastAsia="en-US" w:bidi="ar-SA"/>
              </w:rPr>
              <w:t>segurança,</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alimentação,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se</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for</w:t>
            </w:r>
            <w:r>
              <w:rPr>
                <w:rFonts w:ascii="Arial" w:hAnsi="Arial"/>
                <w:color w:val="000009"/>
                <w:spacing w:val="14"/>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3"/>
                <w:kern w:val="0"/>
                <w:sz w:val="20"/>
                <w:szCs w:val="20"/>
                <w:lang w:eastAsia="en-US" w:bidi="ar-SA"/>
              </w:rPr>
              <w:t xml:space="preserve"> </w:t>
            </w:r>
            <w:r>
              <w:rPr>
                <w:rFonts w:ascii="Arial" w:hAnsi="Arial"/>
                <w:color w:val="000009"/>
                <w:kern w:val="0"/>
                <w:sz w:val="20"/>
                <w:szCs w:val="20"/>
                <w:lang w:eastAsia="en-US" w:bidi="ar-SA"/>
              </w:rPr>
              <w:t>caso,</w:t>
            </w:r>
            <w:r>
              <w:rPr>
                <w:rFonts w:ascii="Arial" w:hAnsi="Arial"/>
                <w:color w:val="000009"/>
                <w:spacing w:val="-53"/>
                <w:kern w:val="0"/>
                <w:sz w:val="20"/>
                <w:szCs w:val="20"/>
                <w:lang w:eastAsia="en-US" w:bidi="ar-SA"/>
              </w:rPr>
              <w:t xml:space="preserve"> </w:t>
            </w:r>
            <w:r>
              <w:rPr>
                <w:rFonts w:ascii="Arial" w:hAnsi="Arial"/>
                <w:color w:val="000009"/>
                <w:kern w:val="0"/>
                <w:sz w:val="20"/>
                <w:szCs w:val="20"/>
                <w:lang w:eastAsia="en-US" w:bidi="ar-SA"/>
              </w:rPr>
              <w:t>etc.</w:t>
            </w:r>
          </w:p>
        </w:tc>
      </w:tr>
      <w:tr>
        <w:trPr>
          <w:trHeight w:val="1094" w:hRule="atLeast"/>
        </w:trPr>
        <w:tc>
          <w:tcPr>
            <w:tcW w:w="9462" w:type="dxa"/>
            <w:gridSpan w:val="7"/>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76" w:before="45" w:after="0"/>
              <w:ind w:left="69" w:right="60" w:hanging="0"/>
              <w:jc w:val="both"/>
              <w:rPr>
                <w:rFonts w:ascii="Arial" w:hAnsi="Arial"/>
                <w:sz w:val="20"/>
                <w:szCs w:val="20"/>
              </w:rPr>
            </w:pPr>
            <w:r>
              <w:rPr>
                <w:rFonts w:ascii="Arial" w:hAnsi="Arial"/>
                <w:color w:val="000009"/>
                <w:kern w:val="0"/>
                <w:sz w:val="20"/>
                <w:szCs w:val="20"/>
                <w:lang w:eastAsia="en-US" w:bidi="ar-SA"/>
              </w:rPr>
              <w:t>* Esta planilha é exemplificativa e não exaustiva, podendo cada licitante, elaborar sua própria planilha,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desde que dela conste todos os custos considerados na composição de seu preço, observando-se 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modelo proposto,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forma</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padronizar</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a</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apresentação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e</w:t>
            </w:r>
            <w:r>
              <w:rPr>
                <w:rFonts w:ascii="Arial" w:hAnsi="Arial"/>
                <w:color w:val="000009"/>
                <w:spacing w:val="-2"/>
                <w:kern w:val="0"/>
                <w:sz w:val="20"/>
                <w:szCs w:val="20"/>
                <w:lang w:eastAsia="en-US" w:bidi="ar-SA"/>
              </w:rPr>
              <w:t xml:space="preserve"> </w:t>
            </w:r>
            <w:r>
              <w:rPr>
                <w:rFonts w:ascii="Arial" w:hAnsi="Arial"/>
                <w:color w:val="000009"/>
                <w:kern w:val="0"/>
                <w:sz w:val="20"/>
                <w:szCs w:val="20"/>
                <w:lang w:eastAsia="en-US" w:bidi="ar-SA"/>
              </w:rPr>
              <w: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julgamento</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das</w:t>
            </w:r>
            <w:r>
              <w:rPr>
                <w:rFonts w:ascii="Arial" w:hAnsi="Arial"/>
                <w:color w:val="000009"/>
                <w:spacing w:val="-1"/>
                <w:kern w:val="0"/>
                <w:sz w:val="20"/>
                <w:szCs w:val="20"/>
                <w:lang w:eastAsia="en-US" w:bidi="ar-SA"/>
              </w:rPr>
              <w:t xml:space="preserve"> </w:t>
            </w:r>
            <w:r>
              <w:rPr>
                <w:rFonts w:ascii="Arial" w:hAnsi="Arial"/>
                <w:color w:val="000009"/>
                <w:kern w:val="0"/>
                <w:sz w:val="20"/>
                <w:szCs w:val="20"/>
                <w:lang w:eastAsia="en-US" w:bidi="ar-SA"/>
              </w:rPr>
              <w:t>propostas.</w:t>
            </w:r>
          </w:p>
        </w:tc>
      </w:tr>
    </w:tbl>
    <w:p>
      <w:pPr>
        <w:pStyle w:val="Corpodotexto"/>
        <w:spacing w:before="11" w:after="0"/>
        <w:rPr>
          <w:rFonts w:ascii="Arial" w:hAnsi="Arial"/>
        </w:rPr>
      </w:pPr>
      <w:r>
        <w:rPr>
          <w:rFonts w:ascii="Arial" w:hAnsi="Arial"/>
        </w:rPr>
      </w:r>
    </w:p>
    <w:p>
      <w:pPr>
        <w:pStyle w:val="Corpodotexto"/>
        <w:spacing w:lineRule="auto" w:line="360" w:before="93" w:after="0"/>
        <w:ind w:left="113" w:hanging="0"/>
        <w:jc w:val="both"/>
        <w:rPr>
          <w:rFonts w:ascii="Arial" w:hAnsi="Arial"/>
        </w:rPr>
      </w:pPr>
      <w:r>
        <w:rPr>
          <w:rFonts w:ascii="Arial" w:hAnsi="Arial"/>
          <w:b/>
        </w:rPr>
        <w:t xml:space="preserve">Observação: </w:t>
      </w:r>
      <w:r>
        <w:rPr>
          <w:rFonts w:ascii="Arial" w:hAnsi="Arial"/>
        </w:rPr>
        <w:t>conforme Orientação Técnica do Instituto Brasileiro de Auditoria de Obras Públicas (OT –</w:t>
      </w:r>
      <w:r>
        <w:rPr>
          <w:rFonts w:ascii="Arial" w:hAnsi="Arial"/>
          <w:spacing w:val="1"/>
        </w:rPr>
        <w:t xml:space="preserve"> </w:t>
      </w:r>
      <w:r>
        <w:rPr>
          <w:rFonts w:ascii="Arial" w:hAnsi="Arial"/>
        </w:rPr>
        <w:t>IBR)</w:t>
      </w:r>
      <w:r>
        <w:rPr>
          <w:rFonts w:ascii="Arial" w:hAnsi="Arial"/>
          <w:spacing w:val="-4"/>
        </w:rPr>
        <w:t xml:space="preserve"> </w:t>
      </w:r>
      <w:r>
        <w:rPr>
          <w:rFonts w:ascii="Arial" w:hAnsi="Arial"/>
        </w:rPr>
        <w:t>nº</w:t>
      </w:r>
      <w:r>
        <w:rPr>
          <w:rFonts w:ascii="Arial" w:hAnsi="Arial"/>
          <w:spacing w:val="-5"/>
        </w:rPr>
        <w:t xml:space="preserve"> </w:t>
      </w:r>
      <w:r>
        <w:rPr>
          <w:rFonts w:ascii="Arial" w:hAnsi="Arial"/>
        </w:rPr>
        <w:t>001/2006,</w:t>
      </w:r>
      <w:r>
        <w:rPr>
          <w:rFonts w:ascii="Arial" w:hAnsi="Arial"/>
          <w:spacing w:val="-5"/>
        </w:rPr>
        <w:t xml:space="preserve"> </w:t>
      </w:r>
      <w:r>
        <w:rPr>
          <w:rFonts w:ascii="Arial" w:hAnsi="Arial"/>
        </w:rPr>
        <w:t>cada</w:t>
      </w:r>
      <w:r>
        <w:rPr>
          <w:rFonts w:ascii="Arial" w:hAnsi="Arial"/>
          <w:spacing w:val="-5"/>
        </w:rPr>
        <w:t xml:space="preserve"> </w:t>
      </w:r>
      <w:r>
        <w:rPr>
          <w:rFonts w:ascii="Arial" w:hAnsi="Arial"/>
        </w:rPr>
        <w:t>Composição</w:t>
      </w:r>
      <w:r>
        <w:rPr>
          <w:rFonts w:ascii="Arial" w:hAnsi="Arial"/>
          <w:spacing w:val="-5"/>
        </w:rPr>
        <w:t xml:space="preserve"> </w:t>
      </w:r>
      <w:r>
        <w:rPr>
          <w:rFonts w:ascii="Arial" w:hAnsi="Arial"/>
        </w:rPr>
        <w:t>de</w:t>
      </w:r>
      <w:r>
        <w:rPr>
          <w:rFonts w:ascii="Arial" w:hAnsi="Arial"/>
          <w:spacing w:val="-5"/>
        </w:rPr>
        <w:t xml:space="preserve"> </w:t>
      </w:r>
      <w:r>
        <w:rPr>
          <w:rFonts w:ascii="Arial" w:hAnsi="Arial"/>
        </w:rPr>
        <w:t>Custo</w:t>
      </w:r>
      <w:r>
        <w:rPr>
          <w:rFonts w:ascii="Arial" w:hAnsi="Arial"/>
          <w:spacing w:val="-6"/>
        </w:rPr>
        <w:t xml:space="preserve"> </w:t>
      </w:r>
      <w:r>
        <w:rPr>
          <w:rFonts w:ascii="Arial" w:hAnsi="Arial"/>
        </w:rPr>
        <w:t>define</w:t>
      </w:r>
      <w:r>
        <w:rPr>
          <w:rFonts w:ascii="Arial" w:hAnsi="Arial"/>
          <w:spacing w:val="-2"/>
        </w:rPr>
        <w:t xml:space="preserve"> </w:t>
      </w:r>
      <w:r>
        <w:rPr>
          <w:rFonts w:ascii="Arial" w:hAnsi="Arial"/>
        </w:rPr>
        <w:t>o</w:t>
      </w:r>
      <w:r>
        <w:rPr>
          <w:rFonts w:ascii="Arial" w:hAnsi="Arial"/>
          <w:spacing w:val="-5"/>
        </w:rPr>
        <w:t xml:space="preserve"> </w:t>
      </w:r>
      <w:r>
        <w:rPr>
          <w:rFonts w:ascii="Arial" w:hAnsi="Arial"/>
        </w:rPr>
        <w:t>valor</w:t>
      </w:r>
      <w:r>
        <w:rPr>
          <w:rFonts w:ascii="Arial" w:hAnsi="Arial"/>
          <w:spacing w:val="-2"/>
        </w:rPr>
        <w:t xml:space="preserve"> </w:t>
      </w:r>
      <w:r>
        <w:rPr>
          <w:rFonts w:ascii="Arial" w:hAnsi="Arial"/>
        </w:rPr>
        <w:t>financeiro</w:t>
      </w:r>
      <w:r>
        <w:rPr>
          <w:rFonts w:ascii="Arial" w:hAnsi="Arial"/>
          <w:spacing w:val="-5"/>
        </w:rPr>
        <w:t xml:space="preserve"> </w:t>
      </w:r>
      <w:r>
        <w:rPr>
          <w:rFonts w:ascii="Arial" w:hAnsi="Arial"/>
        </w:rPr>
        <w:t>a</w:t>
      </w:r>
      <w:r>
        <w:rPr>
          <w:rFonts w:ascii="Arial" w:hAnsi="Arial"/>
          <w:spacing w:val="-2"/>
        </w:rPr>
        <w:t xml:space="preserve"> </w:t>
      </w:r>
      <w:r>
        <w:rPr>
          <w:rFonts w:ascii="Arial" w:hAnsi="Arial"/>
        </w:rPr>
        <w:t>ser</w:t>
      </w:r>
      <w:r>
        <w:rPr>
          <w:rFonts w:ascii="Arial" w:hAnsi="Arial"/>
          <w:spacing w:val="-5"/>
        </w:rPr>
        <w:t xml:space="preserve"> </w:t>
      </w:r>
      <w:r>
        <w:rPr>
          <w:rFonts w:ascii="Arial" w:hAnsi="Arial"/>
        </w:rPr>
        <w:t>despendido</w:t>
      </w:r>
      <w:r>
        <w:rPr>
          <w:rFonts w:ascii="Arial" w:hAnsi="Arial"/>
          <w:spacing w:val="-5"/>
        </w:rPr>
        <w:t xml:space="preserve"> </w:t>
      </w:r>
      <w:r>
        <w:rPr>
          <w:rFonts w:ascii="Arial" w:hAnsi="Arial"/>
        </w:rPr>
        <w:t>na</w:t>
      </w:r>
      <w:r>
        <w:rPr>
          <w:rFonts w:ascii="Arial" w:hAnsi="Arial"/>
          <w:spacing w:val="-5"/>
        </w:rPr>
        <w:t xml:space="preserve"> </w:t>
      </w:r>
      <w:r>
        <w:rPr>
          <w:rFonts w:ascii="Arial" w:hAnsi="Arial"/>
        </w:rPr>
        <w:t>execução</w:t>
      </w:r>
      <w:r>
        <w:rPr>
          <w:rFonts w:ascii="Arial" w:hAnsi="Arial"/>
          <w:spacing w:val="-5"/>
        </w:rPr>
        <w:t xml:space="preserve"> </w:t>
      </w:r>
      <w:r>
        <w:rPr>
          <w:rFonts w:ascii="Arial" w:hAnsi="Arial"/>
        </w:rPr>
        <w:t>do</w:t>
      </w:r>
      <w:r>
        <w:rPr>
          <w:rFonts w:ascii="Arial" w:hAnsi="Arial"/>
          <w:spacing w:val="-53"/>
        </w:rPr>
        <w:t xml:space="preserve"> </w:t>
      </w:r>
      <w:r>
        <w:rPr>
          <w:rFonts w:ascii="Arial" w:hAnsi="Arial"/>
        </w:rPr>
        <w:t>respectivo</w:t>
      </w:r>
      <w:r>
        <w:rPr>
          <w:rFonts w:ascii="Arial" w:hAnsi="Arial"/>
          <w:spacing w:val="1"/>
        </w:rPr>
        <w:t xml:space="preserve"> </w:t>
      </w:r>
      <w:r>
        <w:rPr>
          <w:rFonts w:ascii="Arial" w:hAnsi="Arial"/>
        </w:rPr>
        <w:t>serviço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é</w:t>
      </w:r>
      <w:r>
        <w:rPr>
          <w:rFonts w:ascii="Arial" w:hAnsi="Arial"/>
          <w:spacing w:val="1"/>
        </w:rPr>
        <w:t xml:space="preserve"> </w:t>
      </w:r>
      <w:r>
        <w:rPr>
          <w:rFonts w:ascii="Arial" w:hAnsi="Arial"/>
        </w:rPr>
        <w:t>elaborada</w:t>
      </w:r>
      <w:r>
        <w:rPr>
          <w:rFonts w:ascii="Arial" w:hAnsi="Arial"/>
          <w:spacing w:val="1"/>
        </w:rPr>
        <w:t xml:space="preserve"> </w:t>
      </w:r>
      <w:r>
        <w:rPr>
          <w:rFonts w:ascii="Arial" w:hAnsi="Arial"/>
        </w:rPr>
        <w:t>com</w:t>
      </w:r>
      <w:r>
        <w:rPr>
          <w:rFonts w:ascii="Arial" w:hAnsi="Arial"/>
          <w:spacing w:val="1"/>
        </w:rPr>
        <w:t xml:space="preserve"> </w:t>
      </w:r>
      <w:r>
        <w:rPr>
          <w:rFonts w:ascii="Arial" w:hAnsi="Arial"/>
        </w:rPr>
        <w:t>base</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coeficientes</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produtividade,</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consumo</w:t>
      </w:r>
      <w:r>
        <w:rPr>
          <w:rFonts w:ascii="Arial" w:hAnsi="Arial"/>
          <w:spacing w:val="1"/>
        </w:rPr>
        <w:t xml:space="preserve"> </w:t>
      </w:r>
      <w:r>
        <w:rPr>
          <w:rFonts w:ascii="Arial" w:hAnsi="Arial"/>
        </w:rPr>
        <w:t>e</w:t>
      </w:r>
      <w:r>
        <w:rPr>
          <w:rFonts w:ascii="Arial" w:hAnsi="Arial"/>
          <w:spacing w:val="1"/>
        </w:rPr>
        <w:t xml:space="preserve"> </w:t>
      </w:r>
      <w:r>
        <w:rPr>
          <w:rFonts w:ascii="Arial" w:hAnsi="Arial"/>
        </w:rPr>
        <w:t>aproveitamento</w:t>
      </w:r>
      <w:r>
        <w:rPr>
          <w:rFonts w:ascii="Arial" w:hAnsi="Arial"/>
          <w:spacing w:val="-1"/>
        </w:rPr>
        <w:t xml:space="preserve"> </w:t>
      </w:r>
      <w:r>
        <w:rPr>
          <w:rFonts w:ascii="Arial" w:hAnsi="Arial"/>
        </w:rPr>
        <w:t>de insumos</w:t>
      </w:r>
      <w:r>
        <w:rPr>
          <w:rFonts w:ascii="Arial" w:hAnsi="Arial"/>
          <w:spacing w:val="-1"/>
        </w:rPr>
        <w:t xml:space="preserve"> </w:t>
      </w:r>
      <w:r>
        <w:rPr>
          <w:rFonts w:ascii="Arial" w:hAnsi="Arial"/>
        </w:rPr>
        <w:t>e</w:t>
      </w:r>
      <w:r>
        <w:rPr>
          <w:rFonts w:ascii="Arial" w:hAnsi="Arial"/>
          <w:spacing w:val="-3"/>
        </w:rPr>
        <w:t xml:space="preserve"> </w:t>
      </w:r>
      <w:r>
        <w:rPr>
          <w:rFonts w:ascii="Arial" w:hAnsi="Arial"/>
        </w:rPr>
        <w:t>seus</w:t>
      </w:r>
      <w:r>
        <w:rPr>
          <w:rFonts w:ascii="Arial" w:hAnsi="Arial"/>
          <w:spacing w:val="-1"/>
        </w:rPr>
        <w:t xml:space="preserve"> </w:t>
      </w:r>
      <w:r>
        <w:rPr>
          <w:rFonts w:ascii="Arial" w:hAnsi="Arial"/>
        </w:rPr>
        <w:t>preços</w:t>
      </w:r>
      <w:r>
        <w:rPr>
          <w:rFonts w:ascii="Arial" w:hAnsi="Arial"/>
          <w:spacing w:val="-1"/>
        </w:rPr>
        <w:t xml:space="preserve"> </w:t>
      </w:r>
      <w:r>
        <w:rPr>
          <w:rFonts w:ascii="Arial" w:hAnsi="Arial"/>
        </w:rPr>
        <w:t>coletados no</w:t>
      </w:r>
      <w:r>
        <w:rPr>
          <w:rFonts w:ascii="Arial" w:hAnsi="Arial"/>
          <w:spacing w:val="-2"/>
        </w:rPr>
        <w:t xml:space="preserve"> </w:t>
      </w:r>
      <w:r>
        <w:rPr>
          <w:rFonts w:ascii="Arial" w:hAnsi="Arial"/>
        </w:rPr>
        <w:t>mercado, devendo</w:t>
      </w:r>
      <w:r>
        <w:rPr>
          <w:rFonts w:ascii="Arial" w:hAnsi="Arial"/>
          <w:spacing w:val="-2"/>
        </w:rPr>
        <w:t xml:space="preserve"> </w:t>
      </w:r>
      <w:r>
        <w:rPr>
          <w:rFonts w:ascii="Arial" w:hAnsi="Arial"/>
        </w:rPr>
        <w:t>conter,</w:t>
      </w:r>
      <w:r>
        <w:rPr>
          <w:rFonts w:ascii="Arial" w:hAnsi="Arial"/>
          <w:spacing w:val="-3"/>
        </w:rPr>
        <w:t xml:space="preserve"> </w:t>
      </w:r>
      <w:r>
        <w:rPr>
          <w:rFonts w:ascii="Arial" w:hAnsi="Arial"/>
        </w:rPr>
        <w:t>no</w:t>
      </w:r>
      <w:r>
        <w:rPr>
          <w:rFonts w:ascii="Arial" w:hAnsi="Arial"/>
          <w:spacing w:val="-2"/>
        </w:rPr>
        <w:t xml:space="preserve"> </w:t>
      </w:r>
      <w:r>
        <w:rPr>
          <w:rFonts w:ascii="Arial" w:hAnsi="Arial"/>
        </w:rPr>
        <w:t>mínimo:</w:t>
      </w:r>
    </w:p>
    <w:p>
      <w:pPr>
        <w:pStyle w:val="Corpodotexto"/>
        <w:spacing w:before="6"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lineRule="auto" w:line="192"/>
        <w:ind w:left="850" w:hanging="340"/>
        <w:rPr>
          <w:rFonts w:ascii="Arial" w:hAnsi="Arial"/>
          <w:sz w:val="20"/>
          <w:szCs w:val="20"/>
        </w:rPr>
      </w:pPr>
      <w:r>
        <w:rPr>
          <w:rFonts w:ascii="Arial" w:hAnsi="Arial"/>
          <w:w w:val="95"/>
          <w:sz w:val="20"/>
          <w:szCs w:val="20"/>
        </w:rPr>
        <w:t>Discriminação</w:t>
      </w:r>
      <w:r>
        <w:rPr>
          <w:rFonts w:ascii="Arial" w:hAnsi="Arial"/>
          <w:spacing w:val="20"/>
          <w:w w:val="95"/>
          <w:sz w:val="20"/>
          <w:szCs w:val="20"/>
        </w:rPr>
        <w:t xml:space="preserve"> </w:t>
      </w:r>
      <w:r>
        <w:rPr>
          <w:rFonts w:ascii="Arial" w:hAnsi="Arial"/>
          <w:w w:val="95"/>
          <w:sz w:val="20"/>
          <w:szCs w:val="20"/>
        </w:rPr>
        <w:t>de</w:t>
      </w:r>
      <w:r>
        <w:rPr>
          <w:rFonts w:ascii="Arial" w:hAnsi="Arial"/>
          <w:spacing w:val="16"/>
          <w:w w:val="95"/>
          <w:sz w:val="20"/>
          <w:szCs w:val="20"/>
        </w:rPr>
        <w:t xml:space="preserve"> </w:t>
      </w:r>
      <w:r>
        <w:rPr>
          <w:rFonts w:ascii="Arial" w:hAnsi="Arial"/>
          <w:w w:val="95"/>
          <w:sz w:val="20"/>
          <w:szCs w:val="20"/>
        </w:rPr>
        <w:t>cada</w:t>
      </w:r>
      <w:r>
        <w:rPr>
          <w:rFonts w:ascii="Arial" w:hAnsi="Arial"/>
          <w:spacing w:val="16"/>
          <w:w w:val="95"/>
          <w:sz w:val="20"/>
          <w:szCs w:val="20"/>
        </w:rPr>
        <w:t xml:space="preserve"> </w:t>
      </w:r>
      <w:r>
        <w:rPr>
          <w:rFonts w:ascii="Arial" w:hAnsi="Arial"/>
          <w:w w:val="95"/>
          <w:sz w:val="20"/>
          <w:szCs w:val="20"/>
        </w:rPr>
        <w:t>insumo,</w:t>
      </w:r>
      <w:r>
        <w:rPr>
          <w:rFonts w:ascii="Arial" w:hAnsi="Arial"/>
          <w:spacing w:val="18"/>
          <w:w w:val="95"/>
          <w:sz w:val="20"/>
          <w:szCs w:val="20"/>
        </w:rPr>
        <w:t xml:space="preserve"> </w:t>
      </w:r>
      <w:r>
        <w:rPr>
          <w:rFonts w:ascii="Arial" w:hAnsi="Arial"/>
          <w:w w:val="95"/>
          <w:sz w:val="20"/>
          <w:szCs w:val="20"/>
        </w:rPr>
        <w:t>unidade</w:t>
      </w:r>
      <w:r>
        <w:rPr>
          <w:rFonts w:ascii="Arial" w:hAnsi="Arial"/>
          <w:spacing w:val="17"/>
          <w:w w:val="95"/>
          <w:sz w:val="20"/>
          <w:szCs w:val="20"/>
        </w:rPr>
        <w:t xml:space="preserve"> </w:t>
      </w:r>
      <w:r>
        <w:rPr>
          <w:rFonts w:ascii="Arial" w:hAnsi="Arial"/>
          <w:w w:val="95"/>
          <w:sz w:val="20"/>
          <w:szCs w:val="20"/>
        </w:rPr>
        <w:t>de</w:t>
      </w:r>
      <w:r>
        <w:rPr>
          <w:rFonts w:ascii="Arial" w:hAnsi="Arial"/>
          <w:spacing w:val="21"/>
          <w:w w:val="95"/>
          <w:sz w:val="20"/>
          <w:szCs w:val="20"/>
        </w:rPr>
        <w:t xml:space="preserve"> </w:t>
      </w:r>
      <w:r>
        <w:rPr>
          <w:rFonts w:ascii="Arial" w:hAnsi="Arial"/>
          <w:w w:val="95"/>
          <w:sz w:val="20"/>
          <w:szCs w:val="20"/>
        </w:rPr>
        <w:t>medida,</w:t>
      </w:r>
      <w:r>
        <w:rPr>
          <w:rFonts w:ascii="Arial" w:hAnsi="Arial"/>
          <w:spacing w:val="17"/>
          <w:w w:val="95"/>
          <w:sz w:val="20"/>
          <w:szCs w:val="20"/>
        </w:rPr>
        <w:t xml:space="preserve"> </w:t>
      </w:r>
      <w:r>
        <w:rPr>
          <w:rFonts w:ascii="Arial" w:hAnsi="Arial"/>
          <w:w w:val="95"/>
          <w:sz w:val="20"/>
          <w:szCs w:val="20"/>
        </w:rPr>
        <w:t>sua</w:t>
      </w:r>
      <w:r>
        <w:rPr>
          <w:rFonts w:ascii="Arial" w:hAnsi="Arial"/>
          <w:spacing w:val="18"/>
          <w:w w:val="95"/>
          <w:sz w:val="20"/>
          <w:szCs w:val="20"/>
        </w:rPr>
        <w:t xml:space="preserve"> </w:t>
      </w:r>
      <w:r>
        <w:rPr>
          <w:rFonts w:ascii="Arial" w:hAnsi="Arial"/>
          <w:w w:val="95"/>
          <w:sz w:val="20"/>
          <w:szCs w:val="20"/>
        </w:rPr>
        <w:t>incidência</w:t>
      </w:r>
      <w:r>
        <w:rPr>
          <w:rFonts w:ascii="Arial" w:hAnsi="Arial"/>
          <w:spacing w:val="17"/>
          <w:w w:val="95"/>
          <w:sz w:val="20"/>
          <w:szCs w:val="20"/>
        </w:rPr>
        <w:t xml:space="preserve"> </w:t>
      </w:r>
      <w:r>
        <w:rPr>
          <w:rFonts w:ascii="Arial" w:hAnsi="Arial"/>
          <w:w w:val="95"/>
          <w:sz w:val="20"/>
          <w:szCs w:val="20"/>
        </w:rPr>
        <w:t>na</w:t>
      </w:r>
      <w:r>
        <w:rPr>
          <w:rFonts w:ascii="Arial" w:hAnsi="Arial"/>
          <w:spacing w:val="18"/>
          <w:w w:val="95"/>
          <w:sz w:val="20"/>
          <w:szCs w:val="20"/>
        </w:rPr>
        <w:t xml:space="preserve"> </w:t>
      </w:r>
      <w:r>
        <w:rPr>
          <w:rFonts w:ascii="Arial" w:hAnsi="Arial"/>
          <w:w w:val="95"/>
          <w:sz w:val="20"/>
          <w:szCs w:val="20"/>
        </w:rPr>
        <w:t>realização</w:t>
      </w:r>
      <w:r>
        <w:rPr>
          <w:rFonts w:ascii="Arial" w:hAnsi="Arial"/>
          <w:spacing w:val="17"/>
          <w:w w:val="95"/>
          <w:sz w:val="20"/>
          <w:szCs w:val="20"/>
        </w:rPr>
        <w:t xml:space="preserve"> </w:t>
      </w:r>
      <w:r>
        <w:rPr>
          <w:rFonts w:ascii="Arial" w:hAnsi="Arial"/>
          <w:w w:val="95"/>
          <w:sz w:val="20"/>
          <w:szCs w:val="20"/>
        </w:rPr>
        <w:t>do</w:t>
      </w:r>
      <w:r>
        <w:rPr>
          <w:rFonts w:ascii="Arial" w:hAnsi="Arial"/>
          <w:spacing w:val="18"/>
          <w:w w:val="95"/>
          <w:sz w:val="20"/>
          <w:szCs w:val="20"/>
        </w:rPr>
        <w:t xml:space="preserve"> </w:t>
      </w:r>
      <w:r>
        <w:rPr>
          <w:rFonts w:ascii="Arial" w:hAnsi="Arial"/>
          <w:w w:val="95"/>
          <w:sz w:val="20"/>
          <w:szCs w:val="20"/>
        </w:rPr>
        <w:t>serviço,</w:t>
      </w:r>
      <w:r>
        <w:rPr>
          <w:rFonts w:ascii="Arial" w:hAnsi="Arial"/>
          <w:spacing w:val="17"/>
          <w:w w:val="95"/>
          <w:sz w:val="20"/>
          <w:szCs w:val="20"/>
        </w:rPr>
        <w:t xml:space="preserve"> </w:t>
      </w:r>
      <w:r>
        <w:rPr>
          <w:rFonts w:ascii="Arial" w:hAnsi="Arial"/>
          <w:w w:val="95"/>
          <w:sz w:val="20"/>
          <w:szCs w:val="20"/>
        </w:rPr>
        <w:t>preço</w:t>
      </w:r>
      <w:r>
        <w:rPr>
          <w:rFonts w:ascii="Arial" w:hAnsi="Arial"/>
          <w:spacing w:val="-49"/>
          <w:w w:val="95"/>
          <w:sz w:val="20"/>
          <w:szCs w:val="20"/>
        </w:rPr>
        <w:t xml:space="preserve"> </w:t>
      </w:r>
      <w:r>
        <w:rPr>
          <w:rFonts w:ascii="Arial" w:hAnsi="Arial"/>
          <w:sz w:val="20"/>
          <w:szCs w:val="20"/>
        </w:rPr>
        <w:t>unitário e</w:t>
      </w:r>
      <w:r>
        <w:rPr>
          <w:rFonts w:ascii="Arial" w:hAnsi="Arial"/>
          <w:spacing w:val="-1"/>
          <w:sz w:val="20"/>
          <w:szCs w:val="20"/>
        </w:rPr>
        <w:t xml:space="preserve"> </w:t>
      </w:r>
      <w:r>
        <w:rPr>
          <w:rFonts w:ascii="Arial" w:hAnsi="Arial"/>
          <w:sz w:val="20"/>
          <w:szCs w:val="20"/>
        </w:rPr>
        <w:t>custo</w:t>
      </w:r>
      <w:r>
        <w:rPr>
          <w:rFonts w:ascii="Arial" w:hAnsi="Arial"/>
          <w:spacing w:val="1"/>
          <w:sz w:val="20"/>
          <w:szCs w:val="20"/>
        </w:rPr>
        <w:t xml:space="preserve"> </w:t>
      </w:r>
      <w:r>
        <w:rPr>
          <w:rFonts w:ascii="Arial" w:hAnsi="Arial"/>
          <w:sz w:val="20"/>
          <w:szCs w:val="20"/>
        </w:rPr>
        <w:t>parcial;</w:t>
      </w:r>
    </w:p>
    <w:p>
      <w:pPr>
        <w:pStyle w:val="Corpodotexto"/>
        <w:spacing w:before="10" w:after="0"/>
        <w:rPr>
          <w:rFonts w:ascii="Arial" w:hAnsi="Arial"/>
        </w:rPr>
      </w:pPr>
      <w:r>
        <w:rPr>
          <w:rFonts w:ascii="Arial" w:hAnsi="Arial"/>
        </w:rPr>
      </w:r>
    </w:p>
    <w:p>
      <w:pPr>
        <w:pStyle w:val="ListParagraph"/>
        <w:numPr>
          <w:ilvl w:val="0"/>
          <w:numId w:val="1"/>
        </w:numPr>
        <w:tabs>
          <w:tab w:val="clear" w:pos="720"/>
          <w:tab w:val="left" w:pos="861" w:leader="none"/>
          <w:tab w:val="left" w:pos="862" w:leader="none"/>
        </w:tabs>
        <w:spacing w:before="93" w:after="0"/>
        <w:ind w:left="862" w:hanging="361"/>
        <w:jc w:val="left"/>
        <w:rPr>
          <w:rFonts w:ascii="Arial" w:hAnsi="Arial"/>
          <w:sz w:val="20"/>
          <w:szCs w:val="20"/>
        </w:rPr>
      </w:pPr>
      <w:r>
        <w:rPr>
          <w:rFonts w:ascii="Arial" w:hAnsi="Arial"/>
          <w:sz w:val="20"/>
          <w:szCs w:val="20"/>
        </w:rPr>
        <w:t>Custo</w:t>
      </w:r>
      <w:r>
        <w:rPr>
          <w:rFonts w:ascii="Arial" w:hAnsi="Arial"/>
          <w:spacing w:val="-3"/>
          <w:sz w:val="20"/>
          <w:szCs w:val="20"/>
        </w:rPr>
        <w:t xml:space="preserve"> </w:t>
      </w:r>
      <w:r>
        <w:rPr>
          <w:rFonts w:ascii="Arial" w:hAnsi="Arial"/>
          <w:sz w:val="20"/>
          <w:szCs w:val="20"/>
        </w:rPr>
        <w:t>unitário total</w:t>
      </w:r>
      <w:r>
        <w:rPr>
          <w:rFonts w:ascii="Arial" w:hAnsi="Arial"/>
          <w:spacing w:val="-4"/>
          <w:sz w:val="20"/>
          <w:szCs w:val="20"/>
        </w:rPr>
        <w:t xml:space="preserve"> </w:t>
      </w:r>
      <w:r>
        <w:rPr>
          <w:rFonts w:ascii="Arial" w:hAnsi="Arial"/>
          <w:sz w:val="20"/>
          <w:szCs w:val="20"/>
        </w:rPr>
        <w:t>do</w:t>
      </w:r>
      <w:r>
        <w:rPr>
          <w:rFonts w:ascii="Arial" w:hAnsi="Arial"/>
          <w:spacing w:val="-2"/>
          <w:sz w:val="20"/>
          <w:szCs w:val="20"/>
        </w:rPr>
        <w:t xml:space="preserve"> </w:t>
      </w:r>
      <w:r>
        <w:rPr>
          <w:rFonts w:ascii="Arial" w:hAnsi="Arial"/>
          <w:sz w:val="20"/>
          <w:szCs w:val="20"/>
        </w:rPr>
        <w:t>serviço,</w:t>
      </w:r>
      <w:r>
        <w:rPr>
          <w:rFonts w:ascii="Arial" w:hAnsi="Arial"/>
          <w:spacing w:val="-3"/>
          <w:sz w:val="20"/>
          <w:szCs w:val="20"/>
        </w:rPr>
        <w:t xml:space="preserve"> </w:t>
      </w:r>
      <w:r>
        <w:rPr>
          <w:rFonts w:ascii="Arial" w:hAnsi="Arial"/>
          <w:sz w:val="20"/>
          <w:szCs w:val="20"/>
        </w:rPr>
        <w:t>representado pela</w:t>
      </w:r>
      <w:r>
        <w:rPr>
          <w:rFonts w:ascii="Arial" w:hAnsi="Arial"/>
          <w:spacing w:val="-2"/>
          <w:sz w:val="20"/>
          <w:szCs w:val="20"/>
        </w:rPr>
        <w:t xml:space="preserve"> </w:t>
      </w:r>
      <w:r>
        <w:rPr>
          <w:rFonts w:ascii="Arial" w:hAnsi="Arial"/>
          <w:sz w:val="20"/>
          <w:szCs w:val="20"/>
        </w:rPr>
        <w:t>soma</w:t>
      </w:r>
      <w:r>
        <w:rPr>
          <w:rFonts w:ascii="Arial" w:hAnsi="Arial"/>
          <w:spacing w:val="-3"/>
          <w:sz w:val="20"/>
          <w:szCs w:val="20"/>
        </w:rPr>
        <w:t xml:space="preserve"> </w:t>
      </w:r>
      <w:r>
        <w:rPr>
          <w:rFonts w:ascii="Arial" w:hAnsi="Arial"/>
          <w:sz w:val="20"/>
          <w:szCs w:val="20"/>
        </w:rPr>
        <w:t>dos</w:t>
      </w:r>
      <w:r>
        <w:rPr>
          <w:rFonts w:ascii="Arial" w:hAnsi="Arial"/>
          <w:spacing w:val="-1"/>
          <w:sz w:val="20"/>
          <w:szCs w:val="20"/>
        </w:rPr>
        <w:t xml:space="preserve"> </w:t>
      </w:r>
      <w:r>
        <w:rPr>
          <w:rFonts w:ascii="Arial" w:hAnsi="Arial"/>
          <w:sz w:val="20"/>
          <w:szCs w:val="20"/>
        </w:rPr>
        <w:t>custos</w:t>
      </w:r>
      <w:r>
        <w:rPr>
          <w:rFonts w:ascii="Arial" w:hAnsi="Arial"/>
          <w:spacing w:val="-2"/>
          <w:sz w:val="20"/>
          <w:szCs w:val="20"/>
        </w:rPr>
        <w:t xml:space="preserve"> </w:t>
      </w:r>
      <w:r>
        <w:rPr>
          <w:rFonts w:ascii="Arial" w:hAnsi="Arial"/>
          <w:sz w:val="20"/>
          <w:szCs w:val="20"/>
        </w:rPr>
        <w:t>parciais</w:t>
      </w:r>
      <w:r>
        <w:rPr>
          <w:rFonts w:ascii="Arial" w:hAnsi="Arial"/>
          <w:spacing w:val="-1"/>
          <w:sz w:val="20"/>
          <w:szCs w:val="20"/>
        </w:rPr>
        <w:t xml:space="preserve"> </w:t>
      </w:r>
      <w:r>
        <w:rPr>
          <w:rFonts w:ascii="Arial" w:hAnsi="Arial"/>
          <w:sz w:val="20"/>
          <w:szCs w:val="20"/>
        </w:rPr>
        <w:t>de</w:t>
      </w:r>
      <w:r>
        <w:rPr>
          <w:rFonts w:ascii="Arial" w:hAnsi="Arial"/>
          <w:spacing w:val="-2"/>
          <w:sz w:val="20"/>
          <w:szCs w:val="20"/>
        </w:rPr>
        <w:t xml:space="preserve"> </w:t>
      </w:r>
      <w:r>
        <w:rPr>
          <w:rFonts w:ascii="Arial" w:hAnsi="Arial"/>
          <w:sz w:val="20"/>
          <w:szCs w:val="20"/>
        </w:rPr>
        <w:t>cada</w:t>
      </w:r>
      <w:r>
        <w:rPr>
          <w:rFonts w:ascii="Arial" w:hAnsi="Arial"/>
          <w:spacing w:val="-3"/>
          <w:sz w:val="20"/>
          <w:szCs w:val="20"/>
        </w:rPr>
        <w:t xml:space="preserve"> </w:t>
      </w:r>
      <w:r>
        <w:rPr>
          <w:rFonts w:ascii="Arial" w:hAnsi="Arial"/>
          <w:sz w:val="20"/>
          <w:szCs w:val="20"/>
        </w:rPr>
        <w:t>insumo.</w:t>
      </w:r>
    </w:p>
    <w:p>
      <w:pPr>
        <w:pStyle w:val="Corpodotexto"/>
        <w:spacing w:before="6" w:after="0"/>
        <w:jc w:val="center"/>
        <w:rPr/>
      </w:pPr>
      <w:r>
        <w:rPr/>
      </w:r>
    </w:p>
    <w:p>
      <w:pPr>
        <w:pStyle w:val="Ttulo1"/>
        <w:spacing w:before="93" w:after="0"/>
        <w:ind w:left="2727" w:hanging="0"/>
        <w:rPr/>
      </w:pPr>
      <w:r>
        <w:rPr/>
      </w:r>
    </w:p>
    <w:p>
      <w:pPr>
        <w:pStyle w:val="Ttulo1"/>
        <w:spacing w:before="93" w:after="0"/>
        <w:ind w:left="2727" w:hanging="0"/>
        <w:rPr/>
      </w:pPr>
      <w:r>
        <w:rPr/>
      </w:r>
    </w:p>
    <w:p>
      <w:pPr>
        <w:pStyle w:val="Ttulo1"/>
        <w:spacing w:before="93" w:after="0"/>
        <w:ind w:left="2727" w:hanging="0"/>
        <w:rPr/>
      </w:pPr>
      <w:r>
        <w:rPr/>
      </w:r>
    </w:p>
    <w:p>
      <w:pPr>
        <w:pStyle w:val="Normal"/>
        <w:spacing w:before="93" w:after="0"/>
        <w:jc w:val="center"/>
        <w:rPr>
          <w:rFonts w:ascii="Arial" w:hAnsi="Arial" w:cs="Arial"/>
        </w:rPr>
      </w:pPr>
      <w:r>
        <w:rPr>
          <w:rFonts w:cs="Arial" w:ascii="Arial" w:hAnsi="Arial"/>
        </w:rPr>
      </w:r>
    </w:p>
    <w:p>
      <w:pPr>
        <w:pStyle w:val="Normal"/>
        <w:numPr>
          <w:ilvl w:val="0"/>
          <w:numId w:val="0"/>
        </w:numPr>
        <w:spacing w:before="93" w:after="0"/>
        <w:ind w:left="0" w:hanging="0"/>
        <w:jc w:val="center"/>
        <w:outlineLvl w:val="0"/>
        <w:rPr>
          <w:rFonts w:ascii="Arial" w:hAnsi="Arial" w:cs="Arial"/>
          <w:b/>
          <w:b/>
          <w:color w:val="000009"/>
        </w:rPr>
      </w:pPr>
      <w:r>
        <w:rPr>
          <w:rFonts w:cs="Arial" w:ascii="Arial" w:hAnsi="Arial"/>
          <w:b/>
          <w:color w:val="000009"/>
        </w:rPr>
      </w:r>
    </w:p>
    <w:p>
      <w:pPr>
        <w:pStyle w:val="Normal"/>
        <w:numPr>
          <w:ilvl w:val="0"/>
          <w:numId w:val="0"/>
        </w:numPr>
        <w:spacing w:before="93" w:after="0"/>
        <w:ind w:left="0" w:hanging="0"/>
        <w:jc w:val="center"/>
        <w:outlineLvl w:val="0"/>
        <w:rPr>
          <w:rFonts w:ascii="Arial" w:hAnsi="Arial" w:cs="Arial"/>
          <w:b/>
          <w:b/>
          <w:color w:val="000009"/>
        </w:rPr>
      </w:pPr>
      <w:r>
        <w:rPr>
          <w:rFonts w:cs="Arial" w:ascii="Arial" w:hAnsi="Arial"/>
          <w:b/>
          <w:color w:val="000009"/>
        </w:rPr>
      </w:r>
    </w:p>
    <w:p>
      <w:pPr>
        <w:pStyle w:val="Normal"/>
        <w:numPr>
          <w:ilvl w:val="0"/>
          <w:numId w:val="0"/>
        </w:numPr>
        <w:spacing w:before="93" w:after="0"/>
        <w:ind w:left="0" w:hanging="0"/>
        <w:jc w:val="center"/>
        <w:outlineLvl w:val="0"/>
        <w:rPr>
          <w:rFonts w:ascii="Arial" w:hAnsi="Arial" w:cs="Arial"/>
          <w:b/>
          <w:b/>
          <w:color w:val="000009"/>
        </w:rPr>
      </w:pPr>
      <w:r>
        <w:rPr>
          <w:rFonts w:cs="Arial" w:ascii="Arial" w:hAnsi="Arial"/>
          <w:b/>
          <w:color w:val="000009"/>
        </w:rPr>
      </w:r>
    </w:p>
    <w:p>
      <w:pPr>
        <w:pStyle w:val="Normal"/>
        <w:numPr>
          <w:ilvl w:val="0"/>
          <w:numId w:val="0"/>
        </w:numPr>
        <w:spacing w:before="93" w:after="0"/>
        <w:ind w:left="0" w:hanging="0"/>
        <w:jc w:val="center"/>
        <w:outlineLvl w:val="0"/>
        <w:rPr>
          <w:rFonts w:ascii="Arial" w:hAnsi="Arial" w:cs="Arial"/>
          <w:b/>
          <w:b/>
          <w:color w:val="000009"/>
        </w:rPr>
      </w:pPr>
      <w:r>
        <w:rPr>
          <w:rFonts w:cs="Arial" w:ascii="Arial" w:hAnsi="Arial"/>
          <w:b/>
          <w:color w:val="000009"/>
        </w:rPr>
      </w:r>
    </w:p>
    <w:p>
      <w:pPr>
        <w:pStyle w:val="Normal"/>
        <w:numPr>
          <w:ilvl w:val="0"/>
          <w:numId w:val="0"/>
        </w:numPr>
        <w:spacing w:before="93" w:after="0"/>
        <w:ind w:left="0" w:hanging="0"/>
        <w:jc w:val="center"/>
        <w:outlineLvl w:val="0"/>
        <w:rPr>
          <w:rFonts w:ascii="Arial" w:hAnsi="Arial" w:cs="Arial"/>
          <w:b/>
          <w:b/>
          <w:color w:val="000009"/>
        </w:rPr>
      </w:pPr>
      <w:r>
        <w:rPr>
          <w:rFonts w:cs="Arial" w:ascii="Arial" w:hAnsi="Arial"/>
          <w:b/>
          <w:color w:val="000009"/>
        </w:rPr>
      </w:r>
    </w:p>
    <w:p>
      <w:pPr>
        <w:pStyle w:val="Normal"/>
        <w:numPr>
          <w:ilvl w:val="0"/>
          <w:numId w:val="0"/>
        </w:numPr>
        <w:spacing w:before="93" w:after="0"/>
        <w:ind w:left="0" w:hanging="0"/>
        <w:jc w:val="center"/>
        <w:outlineLvl w:val="0"/>
        <w:rPr>
          <w:rFonts w:ascii="Arial" w:hAnsi="Arial"/>
          <w:b/>
          <w:b/>
        </w:rPr>
      </w:pPr>
      <w:r>
        <w:rPr>
          <w:rFonts w:cs="Arial" w:ascii="Arial" w:hAnsi="Arial"/>
          <w:b/>
          <w:color w:val="000009"/>
        </w:rPr>
        <w:t>ANEXO VI - CREDENCIAMENTO PARA VISITA TÉCNICA</w:t>
      </w:r>
    </w:p>
    <w:p>
      <w:pPr>
        <w:pStyle w:val="Corpodotexto"/>
        <w:spacing w:before="93" w:after="0"/>
        <w:ind w:left="142" w:hanging="0"/>
        <w:rPr>
          <w:rFonts w:ascii="Arial" w:hAnsi="Arial"/>
          <w:sz w:val="22"/>
          <w:szCs w:val="22"/>
        </w:rPr>
      </w:pPr>
      <w:r>
        <w:rPr>
          <w:rFonts w:ascii="Arial" w:hAnsi="Arial"/>
          <w:sz w:val="22"/>
          <w:szCs w:val="22"/>
        </w:rPr>
      </w:r>
    </w:p>
    <w:p>
      <w:pPr>
        <w:pStyle w:val="Corpodotexto"/>
        <w:spacing w:before="93" w:after="0"/>
        <w:ind w:left="142" w:hanging="0"/>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(Local</w:t>
      </w:r>
      <w:r>
        <w:rPr>
          <w:rFonts w:ascii="Arial" w:hAnsi="Arial"/>
          <w:color w:val="000009"/>
          <w:spacing w:val="-4"/>
          <w:sz w:val="22"/>
          <w:szCs w:val="22"/>
        </w:rPr>
        <w:t xml:space="preserve"> </w:t>
      </w:r>
      <w:r>
        <w:rPr>
          <w:rFonts w:ascii="Arial" w:hAnsi="Arial"/>
          <w:color w:val="000009"/>
          <w:sz w:val="22"/>
          <w:szCs w:val="22"/>
        </w:rPr>
        <w:t>e data)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w w:val="99"/>
          <w:sz w:val="22"/>
          <w:szCs w:val="22"/>
        </w:rPr>
        <w:t>À</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color w:val="000009"/>
          <w:sz w:val="22"/>
          <w:szCs w:val="22"/>
        </w:rPr>
        <w:t>Secretaria</w:t>
      </w:r>
      <w:r>
        <w:rPr>
          <w:rFonts w:ascii="Arial" w:hAnsi="Arial"/>
          <w:color w:val="000009"/>
          <w:spacing w:val="-4"/>
          <w:sz w:val="22"/>
          <w:szCs w:val="22"/>
        </w:rPr>
        <w:t xml:space="preserve"> </w:t>
      </w:r>
      <w:r>
        <w:rPr>
          <w:rFonts w:ascii="Arial" w:hAnsi="Arial"/>
          <w:color w:val="000009"/>
          <w:sz w:val="22"/>
          <w:szCs w:val="22"/>
        </w:rPr>
        <w:t>Municipal</w:t>
      </w:r>
      <w:r>
        <w:rPr>
          <w:rFonts w:ascii="Arial" w:hAnsi="Arial"/>
          <w:color w:val="000009"/>
          <w:spacing w:val="-3"/>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Obras</w:t>
      </w:r>
      <w:r>
        <w:rPr>
          <w:rFonts w:ascii="Arial" w:hAnsi="Arial"/>
          <w:color w:val="000009"/>
          <w:spacing w:val="-3"/>
          <w:sz w:val="22"/>
          <w:szCs w:val="22"/>
        </w:rPr>
        <w:t xml:space="preserve"> </w:t>
      </w:r>
      <w:r>
        <w:rPr>
          <w:rFonts w:ascii="Arial" w:hAnsi="Arial"/>
          <w:color w:val="000009"/>
          <w:sz w:val="22"/>
          <w:szCs w:val="22"/>
        </w:rPr>
        <w:t>e</w:t>
      </w:r>
      <w:r>
        <w:rPr>
          <w:rFonts w:ascii="Arial" w:hAnsi="Arial"/>
          <w:color w:val="000009"/>
          <w:spacing w:val="-3"/>
          <w:sz w:val="22"/>
          <w:szCs w:val="22"/>
        </w:rPr>
        <w:t xml:space="preserve"> I</w:t>
      </w:r>
      <w:r>
        <w:rPr>
          <w:rFonts w:ascii="Arial" w:hAnsi="Arial"/>
          <w:color w:val="000009"/>
          <w:sz w:val="22"/>
          <w:szCs w:val="22"/>
        </w:rPr>
        <w:t>nfraestrutura</w:t>
      </w:r>
      <w:r>
        <w:rPr>
          <w:rFonts w:ascii="Arial" w:hAnsi="Arial"/>
          <w:color w:val="000009"/>
          <w:spacing w:val="-53"/>
          <w:sz w:val="22"/>
          <w:szCs w:val="22"/>
        </w:rPr>
        <w:t xml:space="preserve"> </w:t>
      </w:r>
      <w:r>
        <w:rPr>
          <w:rFonts w:ascii="Arial" w:hAnsi="Arial"/>
          <w:color w:val="000009"/>
          <w:sz w:val="22"/>
          <w:szCs w:val="22"/>
        </w:rPr>
        <w:t>Aracruz/ES.</w:t>
      </w:r>
    </w:p>
    <w:p>
      <w:pPr>
        <w:pStyle w:val="Corpodotexto"/>
        <w:rPr>
          <w:rFonts w:ascii="Arial" w:hAnsi="Arial"/>
          <w:sz w:val="22"/>
          <w:szCs w:val="22"/>
        </w:rPr>
      </w:pPr>
      <w:r>
        <w:rPr>
          <w:rFonts w:ascii="Arial" w:hAnsi="Arial"/>
          <w:sz w:val="22"/>
          <w:szCs w:val="22"/>
        </w:rPr>
      </w:r>
    </w:p>
    <w:p>
      <w:pPr>
        <w:pStyle w:val="Corpodotexto"/>
        <w:spacing w:before="6" w:after="0"/>
        <w:rPr>
          <w:rFonts w:ascii="Arial" w:hAnsi="Arial"/>
          <w:sz w:val="22"/>
          <w:szCs w:val="22"/>
        </w:rPr>
      </w:pPr>
      <w:r>
        <w:rPr>
          <w:rFonts w:ascii="Arial" w:hAnsi="Arial"/>
          <w:sz w:val="22"/>
          <w:szCs w:val="22"/>
        </w:rPr>
      </w:r>
    </w:p>
    <w:p>
      <w:pPr>
        <w:pStyle w:val="Corpodotexto"/>
        <w:spacing w:lineRule="auto" w:line="480"/>
        <w:jc w:val="both"/>
        <w:rPr>
          <w:rFonts w:ascii="Arial" w:hAnsi="Arial"/>
          <w:sz w:val="22"/>
          <w:szCs w:val="22"/>
        </w:rPr>
      </w:pPr>
      <w:r>
        <w:rPr>
          <w:rFonts w:ascii="Arial" w:hAnsi="Arial"/>
          <w:color w:val="000009"/>
          <w:sz w:val="22"/>
          <w:szCs w:val="22"/>
        </w:rPr>
        <w:t>Prezados</w:t>
      </w:r>
      <w:r>
        <w:rPr>
          <w:rFonts w:ascii="Arial" w:hAnsi="Arial"/>
          <w:color w:val="000009"/>
          <w:spacing w:val="-3"/>
          <w:sz w:val="22"/>
          <w:szCs w:val="22"/>
        </w:rPr>
        <w:t xml:space="preserve"> </w:t>
      </w:r>
      <w:r>
        <w:rPr>
          <w:rFonts w:ascii="Arial" w:hAnsi="Arial"/>
          <w:color w:val="000009"/>
          <w:sz w:val="22"/>
          <w:szCs w:val="22"/>
        </w:rPr>
        <w:t>Senhores:</w:t>
      </w:r>
    </w:p>
    <w:p>
      <w:pPr>
        <w:pStyle w:val="Corpodotexto"/>
        <w:spacing w:lineRule="auto" w:line="480" w:before="5" w:after="0"/>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color w:val="000009"/>
          <w:sz w:val="22"/>
          <w:szCs w:val="22"/>
        </w:rPr>
        <w:t>Apresentamos</w:t>
      </w:r>
      <w:r>
        <w:rPr>
          <w:rFonts w:ascii="Arial" w:hAnsi="Arial"/>
          <w:color w:val="000009"/>
          <w:spacing w:val="-5"/>
          <w:sz w:val="22"/>
          <w:szCs w:val="22"/>
        </w:rPr>
        <w:t xml:space="preserve"> </w:t>
      </w:r>
      <w:r>
        <w:rPr>
          <w:rFonts w:ascii="Arial" w:hAnsi="Arial"/>
          <w:color w:val="000009"/>
          <w:sz w:val="22"/>
          <w:szCs w:val="22"/>
        </w:rPr>
        <w:t>o(a)</w:t>
      </w:r>
      <w:r>
        <w:rPr>
          <w:rFonts w:ascii="Arial" w:hAnsi="Arial"/>
          <w:color w:val="000009"/>
          <w:spacing w:val="-5"/>
          <w:sz w:val="22"/>
          <w:szCs w:val="22"/>
        </w:rPr>
        <w:t xml:space="preserve"> </w:t>
      </w:r>
      <w:r>
        <w:rPr>
          <w:rFonts w:ascii="Arial" w:hAnsi="Arial"/>
          <w:color w:val="000009"/>
          <w:sz w:val="22"/>
          <w:szCs w:val="22"/>
        </w:rPr>
        <w:t>Senhor(a)</w:t>
      </w:r>
      <w:r>
        <w:rPr>
          <w:rFonts w:ascii="Arial" w:hAnsi="Arial"/>
          <w:color w:val="000009"/>
          <w:spacing w:val="-5"/>
          <w:sz w:val="22"/>
          <w:szCs w:val="22"/>
        </w:rPr>
        <w:t xml:space="preserve"> </w:t>
      </w:r>
      <w:r>
        <w:rPr>
          <w:rFonts w:ascii="Arial" w:hAnsi="Arial"/>
          <w:color w:val="000009"/>
          <w:sz w:val="22"/>
          <w:szCs w:val="22"/>
        </w:rPr>
        <w:t>......................................................................documento</w:t>
      </w:r>
      <w:r>
        <w:rPr>
          <w:rFonts w:ascii="Arial" w:hAnsi="Arial"/>
          <w:color w:val="000009"/>
          <w:spacing w:val="-4"/>
          <w:sz w:val="22"/>
          <w:szCs w:val="22"/>
        </w:rPr>
        <w:t xml:space="preserve"> </w:t>
      </w:r>
      <w:r>
        <w:rPr>
          <w:rFonts w:ascii="Arial" w:hAnsi="Arial"/>
          <w:color w:val="000009"/>
          <w:sz w:val="22"/>
          <w:szCs w:val="22"/>
        </w:rPr>
        <w:t>de</w:t>
      </w:r>
      <w:r>
        <w:rPr>
          <w:rFonts w:ascii="Arial" w:hAnsi="Arial"/>
          <w:color w:val="000009"/>
          <w:spacing w:val="-4"/>
          <w:sz w:val="22"/>
          <w:szCs w:val="22"/>
        </w:rPr>
        <w:t xml:space="preserve"> </w:t>
      </w:r>
      <w:r>
        <w:rPr>
          <w:rFonts w:ascii="Arial" w:hAnsi="Arial"/>
          <w:color w:val="000009"/>
          <w:sz w:val="22"/>
          <w:szCs w:val="22"/>
        </w:rPr>
        <w:t>identificação</w:t>
      </w:r>
      <w:r>
        <w:rPr>
          <w:rFonts w:ascii="Arial" w:hAnsi="Arial"/>
          <w:color w:val="000009"/>
          <w:spacing w:val="-4"/>
          <w:sz w:val="22"/>
          <w:szCs w:val="22"/>
        </w:rPr>
        <w:t xml:space="preserve"> </w:t>
      </w:r>
      <w:r>
        <w:rPr>
          <w:rFonts w:ascii="Arial" w:hAnsi="Arial"/>
          <w:color w:val="000009"/>
          <w:sz w:val="22"/>
          <w:szCs w:val="22"/>
        </w:rPr>
        <w:t>nº</w:t>
      </w:r>
      <w:r>
        <w:rPr>
          <w:rFonts w:ascii="Arial" w:hAnsi="Arial"/>
          <w:color w:val="000009"/>
          <w:spacing w:val="-7"/>
          <w:sz w:val="22"/>
          <w:szCs w:val="22"/>
        </w:rPr>
        <w:t xml:space="preserve"> </w:t>
      </w:r>
      <w:r>
        <w:rPr>
          <w:rFonts w:ascii="Arial" w:hAnsi="Arial"/>
          <w:color w:val="000009"/>
          <w:sz w:val="22"/>
          <w:szCs w:val="22"/>
        </w:rPr>
        <w:t>...................................,</w:t>
      </w:r>
      <w:r>
        <w:rPr>
          <w:rFonts w:ascii="Arial" w:hAnsi="Arial"/>
          <w:color w:val="000009"/>
          <w:spacing w:val="-4"/>
          <w:sz w:val="22"/>
          <w:szCs w:val="22"/>
        </w:rPr>
        <w:t xml:space="preserve"> </w:t>
      </w:r>
      <w:r>
        <w:rPr>
          <w:rFonts w:ascii="Arial" w:hAnsi="Arial"/>
          <w:color w:val="000009"/>
          <w:sz w:val="22"/>
          <w:szCs w:val="22"/>
        </w:rPr>
        <w:t>profissão...............................................................</w:t>
      </w:r>
      <w:r>
        <w:rPr>
          <w:rFonts w:ascii="Arial" w:hAnsi="Arial"/>
          <w:color w:val="000009"/>
          <w:spacing w:val="4"/>
          <w:sz w:val="22"/>
          <w:szCs w:val="22"/>
        </w:rPr>
        <w:t xml:space="preserve"> </w:t>
      </w:r>
      <w:r>
        <w:rPr>
          <w:rFonts w:ascii="Arial" w:hAnsi="Arial"/>
          <w:color w:val="000009"/>
          <w:sz w:val="22"/>
          <w:szCs w:val="22"/>
        </w:rPr>
        <w:t>para</w:t>
      </w:r>
      <w:r>
        <w:rPr>
          <w:rFonts w:ascii="Arial" w:hAnsi="Arial"/>
          <w:color w:val="000009"/>
          <w:spacing w:val="5"/>
          <w:sz w:val="22"/>
          <w:szCs w:val="22"/>
        </w:rPr>
        <w:t xml:space="preserve"> </w:t>
      </w:r>
      <w:r>
        <w:rPr>
          <w:rFonts w:ascii="Arial" w:hAnsi="Arial"/>
          <w:color w:val="000009"/>
          <w:sz w:val="22"/>
          <w:szCs w:val="22"/>
        </w:rPr>
        <w:t>representar</w:t>
      </w:r>
      <w:r>
        <w:rPr>
          <w:rFonts w:ascii="Arial" w:hAnsi="Arial"/>
          <w:color w:val="000009"/>
          <w:spacing w:val="4"/>
          <w:sz w:val="22"/>
          <w:szCs w:val="22"/>
        </w:rPr>
        <w:t xml:space="preserve"> </w:t>
      </w:r>
      <w:r>
        <w:rPr>
          <w:rFonts w:ascii="Arial" w:hAnsi="Arial"/>
          <w:color w:val="000009"/>
          <w:sz w:val="22"/>
          <w:szCs w:val="22"/>
        </w:rPr>
        <w:t>esta</w:t>
      </w:r>
      <w:r>
        <w:rPr>
          <w:rFonts w:ascii="Arial" w:hAnsi="Arial"/>
          <w:color w:val="000009"/>
          <w:spacing w:val="6"/>
          <w:sz w:val="22"/>
          <w:szCs w:val="22"/>
        </w:rPr>
        <w:t xml:space="preserve"> </w:t>
      </w:r>
      <w:r>
        <w:rPr>
          <w:rFonts w:ascii="Arial" w:hAnsi="Arial"/>
          <w:color w:val="000009"/>
          <w:sz w:val="22"/>
          <w:szCs w:val="22"/>
        </w:rPr>
        <w:t>empresa</w:t>
      </w:r>
      <w:r>
        <w:rPr>
          <w:rFonts w:ascii="Arial" w:hAnsi="Arial"/>
          <w:color w:val="000009"/>
          <w:spacing w:val="5"/>
          <w:sz w:val="22"/>
          <w:szCs w:val="22"/>
        </w:rPr>
        <w:t xml:space="preserve"> </w:t>
      </w:r>
      <w:r>
        <w:rPr>
          <w:rFonts w:ascii="Arial" w:hAnsi="Arial"/>
          <w:color w:val="000009"/>
          <w:sz w:val="22"/>
          <w:szCs w:val="22"/>
        </w:rPr>
        <w:t>na</w:t>
      </w:r>
      <w:r>
        <w:rPr>
          <w:rFonts w:ascii="Arial" w:hAnsi="Arial"/>
          <w:color w:val="000009"/>
          <w:spacing w:val="5"/>
          <w:sz w:val="22"/>
          <w:szCs w:val="22"/>
        </w:rPr>
        <w:t xml:space="preserve"> </w:t>
      </w:r>
      <w:r>
        <w:rPr>
          <w:rFonts w:ascii="Arial" w:hAnsi="Arial"/>
          <w:color w:val="000009"/>
          <w:sz w:val="22"/>
          <w:szCs w:val="22"/>
        </w:rPr>
        <w:t>realização</w:t>
      </w:r>
      <w:r>
        <w:rPr>
          <w:rFonts w:ascii="Arial" w:hAnsi="Arial"/>
          <w:color w:val="000009"/>
          <w:spacing w:val="4"/>
          <w:sz w:val="22"/>
          <w:szCs w:val="22"/>
        </w:rPr>
        <w:t xml:space="preserve"> </w:t>
      </w:r>
      <w:r>
        <w:rPr>
          <w:rFonts w:ascii="Arial" w:hAnsi="Arial"/>
          <w:color w:val="000009"/>
          <w:sz w:val="22"/>
          <w:szCs w:val="22"/>
        </w:rPr>
        <w:t>da</w:t>
      </w:r>
      <w:r>
        <w:rPr>
          <w:rFonts w:ascii="Arial" w:hAnsi="Arial"/>
          <w:color w:val="000009"/>
          <w:spacing w:val="6"/>
          <w:sz w:val="22"/>
          <w:szCs w:val="22"/>
        </w:rPr>
        <w:t xml:space="preserve"> </w:t>
      </w:r>
      <w:r>
        <w:rPr>
          <w:rFonts w:ascii="Arial" w:hAnsi="Arial"/>
          <w:color w:val="000009"/>
          <w:sz w:val="22"/>
          <w:szCs w:val="22"/>
        </w:rPr>
        <w:t>Visita</w:t>
      </w:r>
      <w:r>
        <w:rPr>
          <w:rFonts w:ascii="Arial" w:hAnsi="Arial"/>
          <w:color w:val="000009"/>
          <w:spacing w:val="2"/>
          <w:sz w:val="22"/>
          <w:szCs w:val="22"/>
        </w:rPr>
        <w:t xml:space="preserve"> </w:t>
      </w:r>
      <w:r>
        <w:rPr>
          <w:rFonts w:ascii="Arial" w:hAnsi="Arial"/>
          <w:color w:val="000009"/>
          <w:sz w:val="22"/>
          <w:szCs w:val="22"/>
        </w:rPr>
        <w:t>Técnica</w:t>
      </w:r>
      <w:r>
        <w:rPr>
          <w:rFonts w:ascii="Arial" w:hAnsi="Arial"/>
          <w:color w:val="000009"/>
          <w:spacing w:val="5"/>
          <w:sz w:val="22"/>
          <w:szCs w:val="22"/>
        </w:rPr>
        <w:t xml:space="preserve"> </w:t>
      </w:r>
      <w:r>
        <w:rPr>
          <w:rFonts w:ascii="Arial" w:hAnsi="Arial"/>
          <w:color w:val="000009"/>
          <w:sz w:val="22"/>
          <w:szCs w:val="22"/>
        </w:rPr>
        <w:t>do</w:t>
      </w:r>
      <w:r>
        <w:rPr>
          <w:rFonts w:ascii="Arial" w:hAnsi="Arial"/>
          <w:color w:val="000009"/>
          <w:spacing w:val="4"/>
          <w:sz w:val="22"/>
          <w:szCs w:val="22"/>
        </w:rPr>
        <w:t xml:space="preserve"> </w:t>
      </w:r>
      <w:r>
        <w:rPr>
          <w:rFonts w:ascii="Arial" w:hAnsi="Arial"/>
          <w:color w:val="000009"/>
          <w:sz w:val="22"/>
          <w:szCs w:val="22"/>
        </w:rPr>
        <w:t>Edital</w:t>
      </w:r>
      <w:r>
        <w:rPr>
          <w:rFonts w:ascii="Arial" w:hAnsi="Arial"/>
          <w:color w:val="000009"/>
          <w:spacing w:val="1"/>
          <w:sz w:val="22"/>
          <w:szCs w:val="22"/>
        </w:rPr>
        <w:t xml:space="preserve"> </w:t>
      </w:r>
      <w:r>
        <w:rPr>
          <w:rFonts w:ascii="Arial" w:hAnsi="Arial"/>
          <w:color w:val="000009"/>
          <w:sz w:val="22"/>
          <w:szCs w:val="22"/>
        </w:rPr>
        <w:t>de</w:t>
        <w:tab/>
      </w:r>
      <w:r>
        <w:rPr>
          <w:rFonts w:ascii="Arial" w:hAnsi="Arial"/>
          <w:b/>
          <w:sz w:val="22"/>
          <w:szCs w:val="22"/>
        </w:rPr>
        <w:t>CONCORRÊNCIA PÚBLICA Nº</w:t>
        <w:tab/>
        <w:t>XXX/2025</w:t>
      </w:r>
      <w:r>
        <w:rPr>
          <w:rFonts w:ascii="Arial" w:hAnsi="Arial"/>
          <w:color w:val="000009"/>
          <w:sz w:val="22"/>
          <w:szCs w:val="22"/>
        </w:rPr>
        <w:t>, tendo</w:t>
        <w:tab/>
        <w:t>como objeto.......................................................................................,</w:t>
      </w:r>
      <w:r>
        <w:rPr>
          <w:rFonts w:ascii="Arial" w:hAnsi="Arial"/>
          <w:color w:val="000009"/>
          <w:spacing w:val="-11"/>
          <w:sz w:val="22"/>
          <w:szCs w:val="22"/>
        </w:rPr>
        <w:t xml:space="preserve"> </w:t>
      </w:r>
      <w:r>
        <w:rPr>
          <w:rFonts w:ascii="Arial" w:hAnsi="Arial"/>
          <w:color w:val="000009"/>
          <w:sz w:val="22"/>
          <w:szCs w:val="22"/>
        </w:rPr>
        <w:t>na</w:t>
      </w:r>
      <w:r>
        <w:rPr>
          <w:rFonts w:ascii="Arial" w:hAnsi="Arial"/>
          <w:color w:val="000009"/>
          <w:spacing w:val="-11"/>
          <w:sz w:val="22"/>
          <w:szCs w:val="22"/>
        </w:rPr>
        <w:t xml:space="preserve"> </w:t>
      </w:r>
      <w:r>
        <w:rPr>
          <w:rFonts w:ascii="Arial" w:hAnsi="Arial"/>
          <w:color w:val="000009"/>
          <w:sz w:val="22"/>
          <w:szCs w:val="22"/>
        </w:rPr>
        <w:t>data</w:t>
      </w:r>
      <w:r>
        <w:rPr>
          <w:rFonts w:ascii="Arial" w:hAnsi="Arial"/>
          <w:color w:val="000009"/>
          <w:spacing w:val="-11"/>
          <w:sz w:val="22"/>
          <w:szCs w:val="22"/>
        </w:rPr>
        <w:t xml:space="preserve"> </w:t>
      </w:r>
      <w:r>
        <w:rPr>
          <w:rFonts w:ascii="Arial" w:hAnsi="Arial"/>
          <w:color w:val="000009"/>
          <w:sz w:val="22"/>
          <w:szCs w:val="22"/>
        </w:rPr>
        <w:t>de………………. às......................horas.</w:t>
      </w:r>
    </w:p>
    <w:p>
      <w:pPr>
        <w:pStyle w:val="Corpodotexto"/>
        <w:jc w:val="both"/>
        <w:rPr>
          <w:rFonts w:ascii="Arial" w:hAnsi="Arial"/>
          <w:sz w:val="22"/>
          <w:szCs w:val="22"/>
        </w:rPr>
      </w:pPr>
      <w:r>
        <w:rPr>
          <w:rFonts w:ascii="Arial" w:hAnsi="Arial"/>
          <w:sz w:val="22"/>
          <w:szCs w:val="22"/>
        </w:rPr>
      </w:r>
    </w:p>
    <w:p>
      <w:pPr>
        <w:pStyle w:val="Corpodotexto"/>
        <w:rPr>
          <w:color w:val="000009"/>
        </w:rPr>
      </w:pPr>
      <w:r>
        <w:rPr>
          <w:color w:val="000009"/>
        </w:rPr>
      </w:r>
    </w:p>
    <w:p>
      <w:pPr>
        <w:pStyle w:val="Corpodotexto"/>
        <w:rPr>
          <w:rFonts w:ascii="Arial" w:hAnsi="Arial"/>
          <w:sz w:val="22"/>
          <w:szCs w:val="22"/>
        </w:rPr>
      </w:pPr>
      <w:r>
        <w:rPr>
          <w:rFonts w:ascii="Arial" w:hAnsi="Arial"/>
          <w:color w:val="000009"/>
          <w:sz w:val="22"/>
          <w:szCs w:val="22"/>
        </w:rPr>
        <w:t>Atenciosamente,</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Normal"/>
        <w:numPr>
          <w:ilvl w:val="0"/>
          <w:numId w:val="0"/>
        </w:numPr>
        <w:ind w:left="0" w:hanging="0"/>
        <w:jc w:val="center"/>
        <w:outlineLvl w:val="0"/>
        <w:rPr/>
      </w:pPr>
      <w:r>
        <w:rPr>
          <w:color w:val="000009"/>
          <w:spacing w:val="-1"/>
        </w:rPr>
        <w:t xml:space="preserve">______________________________________ </w:t>
      </w:r>
    </w:p>
    <w:p>
      <w:pPr>
        <w:pStyle w:val="Ttulo1"/>
        <w:ind w:left="0" w:hanging="0"/>
        <w:jc w:val="center"/>
        <w:rPr/>
      </w:pPr>
      <w:r>
        <w:rPr>
          <w:b w:val="false"/>
          <w:bCs w:val="false"/>
          <w:color w:val="000009"/>
          <w:spacing w:val="-1"/>
          <w:sz w:val="22"/>
          <w:szCs w:val="22"/>
        </w:rPr>
        <w:t xml:space="preserve">EMPRESA LICITANTE/CNPJ </w:t>
      </w:r>
    </w:p>
    <w:p>
      <w:pPr>
        <w:pStyle w:val="Ttulo1"/>
        <w:ind w:left="0" w:hanging="0"/>
        <w:jc w:val="center"/>
        <w:rPr/>
      </w:pPr>
      <w:r>
        <w:rPr>
          <w:b w:val="false"/>
          <w:bCs w:val="false"/>
          <w:color w:val="000009"/>
          <w:spacing w:val="-1"/>
          <w:sz w:val="22"/>
          <w:szCs w:val="22"/>
        </w:rPr>
        <w:t xml:space="preserve">ASSINATURA DO REPRESENTANTE LEGAL </w:t>
      </w:r>
    </w:p>
    <w:p>
      <w:pPr>
        <w:pStyle w:val="Ttulo1"/>
        <w:ind w:left="0" w:hanging="0"/>
        <w:jc w:val="center"/>
        <w:rPr/>
      </w:pPr>
      <w:r>
        <w:rPr>
          <w:b w:val="false"/>
          <w:bCs w:val="false"/>
          <w:color w:val="000009"/>
          <w:spacing w:val="-1"/>
          <w:sz w:val="22"/>
          <w:szCs w:val="22"/>
        </w:rPr>
        <w:t>CPF DO REPRESENTANTE LEGAL</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cs="Arial" w:ascii="Arial" w:hAnsi="Arial"/>
        </w:rPr>
      </w:r>
    </w:p>
    <w:p>
      <w:pPr>
        <w:pStyle w:val="Normal"/>
        <w:spacing w:before="93" w:after="0"/>
        <w:jc w:val="center"/>
        <w:rPr>
          <w:rFonts w:ascii="Arial" w:hAnsi="Arial" w:cs="Arial"/>
        </w:rPr>
      </w:pPr>
      <w:r>
        <w:rPr>
          <w:rFonts w:eastAsia="Arial" w:ascii="Arial" w:hAnsi="Arial"/>
          <w:b/>
          <w:color w:val="000009"/>
          <w:spacing w:val="-1"/>
        </w:rPr>
        <w:t>ANEXO VII - DECLARAÇÃO DE CONHECIMENTO DOS LOCAIS E CONDIÇÕES</w:t>
      </w:r>
    </w:p>
    <w:p>
      <w:pPr>
        <w:pStyle w:val="Ttulo1"/>
        <w:spacing w:before="93" w:after="0"/>
        <w:ind w:left="2727" w:hanging="0"/>
        <w:rPr>
          <w:color w:val="000009"/>
          <w:spacing w:val="-1"/>
        </w:rPr>
      </w:pPr>
      <w:r>
        <w:rPr>
          <w:color w:val="000009"/>
          <w:spacing w:val="-1"/>
        </w:rPr>
      </w:r>
    </w:p>
    <w:p>
      <w:pPr>
        <w:pStyle w:val="Ttulo1"/>
        <w:spacing w:before="93" w:after="0"/>
        <w:ind w:left="0" w:right="680" w:hanging="0"/>
        <w:jc w:val="center"/>
        <w:rPr>
          <w:sz w:val="22"/>
          <w:szCs w:val="22"/>
        </w:rPr>
      </w:pPr>
      <w:r>
        <w:rPr>
          <w:color w:val="000009"/>
          <w:spacing w:val="-1"/>
          <w:sz w:val="22"/>
          <w:szCs w:val="22"/>
        </w:rPr>
        <w:t>EDITAL DE CONCORRÊNCIA ELETRÔNICA Nº XXX/2025</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hanging="0"/>
        <w:jc w:val="both"/>
        <w:rPr/>
      </w:pPr>
      <w:r>
        <w:rPr>
          <w:b w:val="false"/>
          <w:bCs w:val="false"/>
          <w:color w:val="000009"/>
          <w:spacing w:val="-1"/>
          <w:sz w:val="22"/>
          <w:szCs w:val="22"/>
        </w:rPr>
        <w:t>A empresa _______________________________________ (razão social da licitante), inscrita no CNPJ sob o nº _______________________________, por intermédio de seu representante legal o (a) Senhor (a) _______________________________________________, portador do RG Nº__________________________, CPF nº ________________________, declaro que temos pleno conhecimento dos locais e das condições em que deverá ser executada a obra/servido de _______________________, conforme estipulado no edital de CONCORRÊNCIA Nº XXX/2025, reconhecendo ainda que tal circunstância retira-nos a possibilidade de qualquer alegação futura de necessidade de adequação de objeto e/ou recomposição (reequilíbrio, revisão ou repactuação) de preços quanto ao aqui declarado.</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spacing w:before="93" w:after="0"/>
        <w:ind w:left="0" w:right="680" w:hanging="0"/>
        <w:jc w:val="both"/>
        <w:rPr>
          <w:b w:val="false"/>
          <w:b w:val="false"/>
          <w:bCs w:val="false"/>
          <w:color w:val="000009"/>
          <w:spacing w:val="-1"/>
          <w:sz w:val="22"/>
          <w:szCs w:val="22"/>
        </w:rPr>
      </w:pPr>
      <w:r>
        <w:rPr>
          <w:b w:val="false"/>
          <w:bCs w:val="false"/>
          <w:color w:val="000009"/>
          <w:spacing w:val="-1"/>
          <w:sz w:val="22"/>
          <w:szCs w:val="22"/>
        </w:rPr>
      </w:r>
    </w:p>
    <w:p>
      <w:pPr>
        <w:pStyle w:val="Ttulo1"/>
        <w:ind w:left="0" w:hanging="0"/>
        <w:jc w:val="center"/>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pPr>
      <w:r>
        <w:rPr>
          <w:b w:val="false"/>
          <w:bCs w:val="false"/>
          <w:color w:val="000009"/>
          <w:spacing w:val="-1"/>
          <w:sz w:val="22"/>
          <w:szCs w:val="22"/>
        </w:rPr>
        <w:t>Razão Social do Licitante</w:t>
      </w:r>
    </w:p>
    <w:p>
      <w:pPr>
        <w:pStyle w:val="Ttulo1"/>
        <w:ind w:left="0" w:hanging="0"/>
        <w:jc w:val="center"/>
        <w:rPr/>
      </w:pPr>
      <w:r>
        <w:rPr>
          <w:b w:val="false"/>
          <w:bCs w:val="false"/>
          <w:color w:val="000009"/>
          <w:spacing w:val="-1"/>
          <w:sz w:val="22"/>
          <w:szCs w:val="22"/>
        </w:rPr>
        <w:t xml:space="preserve">Nome/Assinatura de seu Representante </w:t>
      </w:r>
    </w:p>
    <w:p>
      <w:pPr>
        <w:pStyle w:val="Ttulo1"/>
        <w:ind w:left="0" w:hanging="0"/>
        <w:jc w:val="center"/>
        <w:rPr/>
      </w:pPr>
      <w:r>
        <w:rPr>
          <w:b w:val="false"/>
          <w:bCs w:val="false"/>
          <w:color w:val="000009"/>
          <w:spacing w:val="-1"/>
          <w:sz w:val="22"/>
          <w:szCs w:val="22"/>
        </w:rPr>
        <w:t xml:space="preserve">CPF nº.:................ </w:t>
      </w:r>
    </w:p>
    <w:p>
      <w:pPr>
        <w:pStyle w:val="Ttulo1"/>
        <w:ind w:left="0" w:hanging="0"/>
        <w:jc w:val="center"/>
        <w:rPr/>
      </w:pPr>
      <w:r>
        <w:rPr>
          <w:b w:val="false"/>
          <w:bCs w:val="false"/>
          <w:color w:val="000009"/>
          <w:spacing w:val="-1"/>
          <w:sz w:val="22"/>
          <w:szCs w:val="22"/>
        </w:rPr>
        <w:t>Carimbo CNPJ</w:t>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spacing w:val="-1"/>
        </w:rPr>
      </w:pPr>
      <w:r>
        <w:rPr>
          <w:color w:val="000009"/>
          <w:spacing w:val="-1"/>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color w:val="000009"/>
        </w:rPr>
      </w:pPr>
      <w:r>
        <w:rPr>
          <w:color w:val="000009"/>
        </w:rPr>
      </w:r>
    </w:p>
    <w:p>
      <w:pPr>
        <w:pStyle w:val="Ttulo1"/>
        <w:spacing w:before="93" w:after="0"/>
        <w:ind w:left="0" w:right="680" w:hanging="0"/>
        <w:rPr/>
      </w:pPr>
      <w:r>
        <w:rPr/>
      </w:r>
    </w:p>
    <w:p>
      <w:pPr>
        <w:pStyle w:val="Corpodotexto"/>
        <w:rPr>
          <w:rFonts w:ascii="Arial" w:hAnsi="Arial"/>
        </w:rPr>
      </w:pPr>
      <w:r>
        <w:rPr>
          <w:rFonts w:ascii="Arial" w:hAnsi="Arial"/>
        </w:rPr>
      </w:r>
    </w:p>
    <w:p>
      <w:pPr>
        <w:pStyle w:val="Corpodotexto"/>
        <w:spacing w:before="7" w:after="0"/>
        <w:rPr>
          <w:rFonts w:ascii="Arial" w:hAnsi="Arial"/>
        </w:rPr>
      </w:pPr>
      <w:r>
        <w:rPr>
          <w:rFonts w:ascii="Arial" w:hAnsi="Arial"/>
        </w:rPr>
      </w:r>
    </w:p>
    <w:p>
      <w:pPr>
        <w:pStyle w:val="Corpodotexto"/>
        <w:spacing w:before="86" w:after="0"/>
        <w:ind w:left="142" w:hanging="0"/>
        <w:jc w:val="center"/>
        <w:rPr>
          <w:rFonts w:ascii="Arial" w:hAnsi="Arial"/>
          <w:sz w:val="22"/>
          <w:szCs w:val="22"/>
        </w:rPr>
      </w:pPr>
      <w:r>
        <w:rPr>
          <w:rFonts w:ascii="Arial" w:hAnsi="Arial"/>
          <w:b/>
          <w:bCs/>
          <w:sz w:val="22"/>
          <w:szCs w:val="22"/>
        </w:rPr>
        <w:t xml:space="preserve">ANEXO VIII - MODELO DE DECLARAÇÃO DE ACEITAÇÃO DO RESPONSÁVEL TÉCNICO </w:t>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spacing w:before="86" w:after="0"/>
        <w:ind w:left="142" w:hanging="0"/>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t xml:space="preserve">Eu,_______________________________, portador (a) da Carteira de Identidade nº.__________,CPFnº. ______________________,Profissão __________________________, devidamente inscrito no CREA sob registro nº ____________________, pertencente ao quadro técnico permanente da empresa _________________________________ inscrita no CNPJ sob o nº _______________________________, DECLARO que aceito minha indicação como responsável técnico dos serviços objeto da licitação CONCORRÊNCIA ELETRÔNICA Nº XXX/2025. </w:t>
      </w:r>
    </w:p>
    <w:p>
      <w:pPr>
        <w:pStyle w:val="Corpodotexto"/>
        <w:rPr>
          <w:rFonts w:ascii="Arial" w:hAnsi="Arial"/>
          <w:sz w:val="22"/>
          <w:szCs w:val="22"/>
        </w:rPr>
      </w:pPr>
      <w:r>
        <w:rPr>
          <w:rFonts w:ascii="Arial" w:hAnsi="Arial"/>
          <w:sz w:val="22"/>
          <w:szCs w:val="22"/>
        </w:rPr>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 xml:space="preserve">__________________________________ </w:t>
      </w:r>
    </w:p>
    <w:p>
      <w:pPr>
        <w:pStyle w:val="Corpodotexto"/>
        <w:jc w:val="center"/>
        <w:rPr>
          <w:rFonts w:ascii="Arial" w:hAnsi="Arial"/>
          <w:sz w:val="22"/>
          <w:szCs w:val="22"/>
        </w:rPr>
      </w:pPr>
      <w:r>
        <w:rPr>
          <w:rFonts w:ascii="Arial" w:hAnsi="Arial"/>
          <w:sz w:val="22"/>
          <w:szCs w:val="22"/>
        </w:rPr>
        <w:t xml:space="preserve">Nome/Assinatura </w:t>
      </w:r>
    </w:p>
    <w:p>
      <w:pPr>
        <w:pStyle w:val="Corpodotexto"/>
        <w:jc w:val="center"/>
        <w:rPr>
          <w:rFonts w:ascii="Arial" w:hAnsi="Arial"/>
          <w:sz w:val="22"/>
          <w:szCs w:val="22"/>
        </w:rPr>
      </w:pPr>
      <w:r>
        <w:rPr>
          <w:rFonts w:ascii="Arial" w:hAnsi="Arial"/>
          <w:color w:val="000009"/>
          <w:sz w:val="22"/>
          <w:szCs w:val="22"/>
        </w:rPr>
        <w:t xml:space="preserve">Profissão </w:t>
      </w:r>
    </w:p>
    <w:p>
      <w:pPr>
        <w:pStyle w:val="Corpodotexto"/>
        <w:jc w:val="center"/>
        <w:rPr>
          <w:rFonts w:ascii="Arial" w:hAnsi="Arial"/>
          <w:sz w:val="22"/>
          <w:szCs w:val="22"/>
        </w:rPr>
      </w:pPr>
      <w:r>
        <w:rPr>
          <w:rFonts w:ascii="Arial" w:hAnsi="Arial"/>
          <w:color w:val="000009"/>
          <w:sz w:val="22"/>
          <w:szCs w:val="22"/>
        </w:rPr>
        <w:t xml:space="preserve">CREA/CAU (dentre outros) nº.: .................... </w:t>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Normal"/>
        <w:tabs>
          <w:tab w:val="clear" w:pos="720"/>
          <w:tab w:val="center" w:pos="4252" w:leader="none"/>
          <w:tab w:val="left" w:pos="5520" w:leader="none"/>
        </w:tabs>
        <w:jc w:val="center"/>
        <w:rPr>
          <w:b/>
          <w:b/>
          <w:bCs/>
        </w:rPr>
      </w:pPr>
      <w:r>
        <w:rPr>
          <w:rFonts w:cs="Arial" w:ascii="Arial" w:hAnsi="Arial"/>
          <w:b/>
          <w:bCs/>
        </w:rPr>
        <w:t xml:space="preserve">ANEXO IX – </w:t>
      </w:r>
      <w:r>
        <w:rPr>
          <w:b/>
          <w:bCs/>
          <w:color w:val="000009"/>
        </w:rPr>
        <w:t xml:space="preserve"> DECLARAÇÃO DE ATENDIMENTO AO  INCISO  </w:t>
      </w:r>
      <w:r>
        <w:rPr>
          <w:b/>
          <w:bCs/>
          <w:color w:val="000009"/>
          <w:spacing w:val="17"/>
          <w:w w:val="95"/>
        </w:rPr>
        <w:t xml:space="preserve">XXXIII </w:t>
      </w:r>
      <w:r>
        <w:rPr>
          <w:b/>
          <w:bCs/>
          <w:color w:val="000009"/>
        </w:rPr>
        <w:t>DO ART. 7º DA CONSTITUIÇÃO FEDERAL</w:t>
      </w:r>
    </w:p>
    <w:p>
      <w:pPr>
        <w:pStyle w:val="Ttulo1"/>
        <w:ind w:left="0" w:hanging="0"/>
        <w:jc w:val="center"/>
        <w:rPr>
          <w:color w:val="000009"/>
        </w:rPr>
      </w:pPr>
      <w:r>
        <w:rPr>
          <w:color w:val="000009"/>
        </w:rPr>
      </w:r>
    </w:p>
    <w:p>
      <w:pPr>
        <w:pStyle w:val="Corpodotexto"/>
        <w:rPr>
          <w:color w:val="000009"/>
        </w:rPr>
      </w:pPr>
      <w:r>
        <w:rPr>
          <w:color w:val="000009"/>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&lt;Local e Data&gt;</w:t>
      </w:r>
      <w:r>
        <w:rPr>
          <w:rFonts w:eastAsia="Times New Roman" w:ascii="Arial" w:hAnsi="Arial"/>
          <w:spacing w:val="-53"/>
          <w:sz w:val="22"/>
          <w:szCs w:val="22"/>
          <w:lang w:eastAsia="ar-SA"/>
        </w:rPr>
        <w:t xml:space="preserve"> </w:t>
      </w:r>
      <w:r>
        <w:rPr>
          <w:rFonts w:eastAsia="Times New Roman" w:ascii="Arial" w:hAnsi="Arial"/>
          <w:sz w:val="22"/>
          <w:szCs w:val="22"/>
          <w:lang w:eastAsia="ar-SA"/>
        </w:rPr>
        <w:t>Ao</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t>Município</w:t>
      </w:r>
      <w:r>
        <w:rPr>
          <w:rFonts w:eastAsia="Times New Roman" w:ascii="Arial" w:hAnsi="Arial"/>
          <w:spacing w:val="-4"/>
          <w:sz w:val="22"/>
          <w:szCs w:val="22"/>
          <w:lang w:eastAsia="ar-SA"/>
        </w:rPr>
        <w:t xml:space="preserve"> </w:t>
      </w:r>
      <w:r>
        <w:rPr>
          <w:rFonts w:eastAsia="Times New Roman" w:ascii="Arial" w:hAnsi="Arial"/>
          <w:sz w:val="22"/>
          <w:szCs w:val="22"/>
          <w:lang w:eastAsia="ar-SA"/>
        </w:rPr>
        <w:t>de</w:t>
      </w:r>
      <w:r>
        <w:rPr>
          <w:rFonts w:eastAsia="Times New Roman" w:ascii="Arial" w:hAnsi="Arial"/>
          <w:spacing w:val="-14"/>
          <w:sz w:val="22"/>
          <w:szCs w:val="22"/>
          <w:lang w:eastAsia="ar-SA"/>
        </w:rPr>
        <w:t xml:space="preserve"> </w:t>
      </w:r>
      <w:r>
        <w:rPr>
          <w:rFonts w:eastAsia="Times New Roman" w:ascii="Arial" w:hAnsi="Arial"/>
          <w:sz w:val="22"/>
          <w:szCs w:val="22"/>
          <w:lang w:eastAsia="ar-SA"/>
        </w:rPr>
        <w:t>Aracruz-ES</w:t>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Corpodotexto"/>
        <w:jc w:val="both"/>
        <w:rPr>
          <w:rFonts w:ascii="Arial" w:hAnsi="Arial" w:eastAsia="Times New Roman"/>
          <w:sz w:val="22"/>
          <w:szCs w:val="22"/>
          <w:lang w:eastAsia="ar-SA"/>
        </w:rPr>
      </w:pPr>
      <w:r>
        <w:rPr>
          <w:rFonts w:eastAsia="Times New Roman" w:ascii="Arial" w:hAnsi="Arial"/>
          <w:sz w:val="22"/>
          <w:szCs w:val="22"/>
          <w:lang w:eastAsia="ar-SA"/>
        </w:rPr>
      </w:r>
    </w:p>
    <w:p>
      <w:pPr>
        <w:pStyle w:val="Ttulo1"/>
        <w:ind w:left="0" w:hanging="0"/>
        <w:jc w:val="both"/>
        <w:rPr>
          <w:rFonts w:eastAsia="Times New Roman" w:cs="Arial MT"/>
          <w:sz w:val="22"/>
          <w:szCs w:val="22"/>
          <w:lang w:eastAsia="ar-SA"/>
        </w:rPr>
      </w:pPr>
      <w:r>
        <w:rPr>
          <w:rFonts w:eastAsia="Times New Roman" w:cs="Arial MT"/>
          <w:sz w:val="22"/>
          <w:szCs w:val="22"/>
          <w:lang w:eastAsia="ar-SA"/>
        </w:rPr>
        <w:t>CONCORRÊNCIA</w:t>
      </w:r>
      <w:r>
        <w:rPr>
          <w:rFonts w:eastAsia="Times New Roman" w:cs="Arial MT"/>
          <w:spacing w:val="-9"/>
          <w:sz w:val="22"/>
          <w:szCs w:val="22"/>
          <w:lang w:eastAsia="ar-SA"/>
        </w:rPr>
        <w:t xml:space="preserve"> </w:t>
      </w:r>
      <w:r>
        <w:rPr>
          <w:rFonts w:eastAsia="Times New Roman" w:cs="Arial MT"/>
          <w:sz w:val="22"/>
          <w:szCs w:val="22"/>
          <w:lang w:eastAsia="ar-SA"/>
        </w:rPr>
        <w:t>PÚBLICA</w:t>
      </w:r>
      <w:r>
        <w:rPr>
          <w:rFonts w:eastAsia="Times New Roman" w:cs="Arial MT"/>
          <w:spacing w:val="-9"/>
          <w:sz w:val="22"/>
          <w:szCs w:val="22"/>
          <w:lang w:eastAsia="ar-SA"/>
        </w:rPr>
        <w:t xml:space="preserve"> </w:t>
      </w:r>
      <w:r>
        <w:rPr>
          <w:rFonts w:eastAsia="Times New Roman" w:cs="Arial MT"/>
          <w:sz w:val="22"/>
          <w:szCs w:val="22"/>
          <w:lang w:eastAsia="ar-SA"/>
        </w:rPr>
        <w:t>Nº</w:t>
      </w:r>
      <w:r>
        <w:rPr>
          <w:rFonts w:eastAsia="Times New Roman" w:cs="Arial MT"/>
          <w:spacing w:val="-2"/>
          <w:sz w:val="22"/>
          <w:szCs w:val="22"/>
          <w:lang w:eastAsia="ar-SA"/>
        </w:rPr>
        <w:t xml:space="preserve"> </w:t>
      </w:r>
      <w:r>
        <w:rPr>
          <w:rFonts w:eastAsia="Times New Roman" w:cs="Arial MT"/>
          <w:sz w:val="22"/>
          <w:szCs w:val="22"/>
          <w:lang w:eastAsia="ar-SA"/>
        </w:rPr>
        <w:t>XXX/2025</w:t>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Corpodotexto"/>
        <w:tabs>
          <w:tab w:val="clear" w:pos="720"/>
          <w:tab w:val="left" w:pos="1044" w:leader="none"/>
          <w:tab w:val="left" w:pos="1423" w:leader="none"/>
          <w:tab w:val="left" w:pos="2081" w:leader="none"/>
          <w:tab w:val="left" w:pos="3329" w:leader="none"/>
          <w:tab w:val="left" w:pos="3888" w:leader="none"/>
          <w:tab w:val="left" w:pos="5091" w:leader="none"/>
          <w:tab w:val="left" w:pos="5581" w:leader="none"/>
          <w:tab w:val="left" w:pos="6173" w:leader="none"/>
          <w:tab w:val="left" w:pos="7676" w:leader="none"/>
          <w:tab w:val="left" w:pos="8366" w:leader="none"/>
          <w:tab w:val="left" w:pos="8992" w:leader="none"/>
        </w:tabs>
        <w:jc w:val="both"/>
        <w:rPr>
          <w:rFonts w:ascii="Arial" w:hAnsi="Arial" w:eastAsia="Times New Roman"/>
          <w:sz w:val="22"/>
          <w:szCs w:val="22"/>
          <w:lang w:eastAsia="ar-SA"/>
        </w:rPr>
      </w:pPr>
      <w:r>
        <w:rPr>
          <w:rFonts w:eastAsia="Times New Roman" w:ascii="Arial" w:hAnsi="Arial"/>
          <w:sz w:val="22"/>
          <w:szCs w:val="22"/>
          <w:lang w:eastAsia="ar-SA"/>
        </w:rPr>
        <w:t>A</w:t>
      </w:r>
      <w:r>
        <w:rPr>
          <w:rFonts w:eastAsia="Times New Roman" w:ascii="Arial" w:hAnsi="Arial"/>
          <w:spacing w:val="16"/>
          <w:sz w:val="22"/>
          <w:szCs w:val="22"/>
          <w:lang w:eastAsia="ar-SA"/>
        </w:rPr>
        <w:t xml:space="preserve"> </w:t>
      </w:r>
      <w:r>
        <w:rPr>
          <w:rFonts w:eastAsia="Times New Roman" w:ascii="Arial" w:hAnsi="Arial"/>
          <w:sz w:val="22"/>
          <w:szCs w:val="22"/>
          <w:lang w:eastAsia="ar-SA"/>
        </w:rPr>
        <w:t>empresa</w:t>
      </w:r>
      <w:r>
        <w:rPr>
          <w:rFonts w:eastAsia="Times New Roman" w:ascii="Arial" w:hAnsi="Arial"/>
          <w:spacing w:val="26"/>
          <w:sz w:val="22"/>
          <w:szCs w:val="22"/>
          <w:lang w:eastAsia="ar-SA"/>
        </w:rPr>
        <w:t xml:space="preserve"> </w:t>
      </w:r>
      <w:r>
        <w:rPr>
          <w:rFonts w:eastAsia="Times New Roman" w:ascii="Arial" w:hAnsi="Arial"/>
          <w:sz w:val="22"/>
          <w:szCs w:val="22"/>
          <w:lang w:eastAsia="ar-SA"/>
        </w:rPr>
        <w:t>........................................,</w:t>
      </w:r>
      <w:r>
        <w:rPr>
          <w:rFonts w:eastAsia="Times New Roman" w:ascii="Arial" w:hAnsi="Arial"/>
          <w:spacing w:val="27"/>
          <w:sz w:val="22"/>
          <w:szCs w:val="22"/>
          <w:lang w:eastAsia="ar-SA"/>
        </w:rPr>
        <w:t xml:space="preserve"> </w:t>
      </w:r>
      <w:r>
        <w:rPr>
          <w:rFonts w:eastAsia="Times New Roman" w:ascii="Arial" w:hAnsi="Arial"/>
          <w:sz w:val="22"/>
          <w:szCs w:val="22"/>
          <w:lang w:eastAsia="ar-SA"/>
        </w:rPr>
        <w:t>inscrita</w:t>
      </w:r>
      <w:r>
        <w:rPr>
          <w:rFonts w:eastAsia="Times New Roman" w:ascii="Arial" w:hAnsi="Arial"/>
          <w:spacing w:val="29"/>
          <w:sz w:val="22"/>
          <w:szCs w:val="22"/>
          <w:lang w:eastAsia="ar-SA"/>
        </w:rPr>
        <w:t xml:space="preserve"> </w:t>
      </w:r>
      <w:r>
        <w:rPr>
          <w:rFonts w:eastAsia="Times New Roman" w:ascii="Arial" w:hAnsi="Arial"/>
          <w:sz w:val="22"/>
          <w:szCs w:val="22"/>
          <w:lang w:eastAsia="ar-SA"/>
        </w:rPr>
        <w:t>no</w:t>
      </w:r>
      <w:r>
        <w:rPr>
          <w:rFonts w:eastAsia="Times New Roman" w:ascii="Arial" w:hAnsi="Arial"/>
          <w:spacing w:val="26"/>
          <w:sz w:val="22"/>
          <w:szCs w:val="22"/>
          <w:lang w:eastAsia="ar-SA"/>
        </w:rPr>
        <w:t xml:space="preserve"> </w:t>
      </w:r>
      <w:r>
        <w:rPr>
          <w:rFonts w:eastAsia="Times New Roman" w:ascii="Arial" w:hAnsi="Arial"/>
          <w:sz w:val="22"/>
          <w:szCs w:val="22"/>
          <w:lang w:eastAsia="ar-SA"/>
        </w:rPr>
        <w:t>CNPJ</w:t>
      </w:r>
      <w:r>
        <w:rPr>
          <w:rFonts w:eastAsia="Times New Roman" w:ascii="Arial" w:hAnsi="Arial"/>
          <w:spacing w:val="27"/>
          <w:sz w:val="22"/>
          <w:szCs w:val="22"/>
          <w:lang w:eastAsia="ar-SA"/>
        </w:rPr>
        <w:t xml:space="preserve"> </w:t>
      </w:r>
      <w:r>
        <w:rPr>
          <w:rFonts w:eastAsia="Times New Roman" w:ascii="Arial" w:hAnsi="Arial"/>
          <w:sz w:val="22"/>
          <w:szCs w:val="22"/>
          <w:lang w:eastAsia="ar-SA"/>
        </w:rPr>
        <w:t>sob</w:t>
      </w:r>
      <w:r>
        <w:rPr>
          <w:rFonts w:eastAsia="Times New Roman" w:ascii="Arial" w:hAnsi="Arial"/>
          <w:spacing w:val="29"/>
          <w:sz w:val="22"/>
          <w:szCs w:val="22"/>
          <w:lang w:eastAsia="ar-SA"/>
        </w:rPr>
        <w:t xml:space="preserve"> </w:t>
      </w:r>
      <w:r>
        <w:rPr>
          <w:rFonts w:eastAsia="Times New Roman" w:ascii="Arial" w:hAnsi="Arial"/>
          <w:sz w:val="22"/>
          <w:szCs w:val="22"/>
          <w:lang w:eastAsia="ar-SA"/>
        </w:rPr>
        <w:t>o</w:t>
      </w:r>
      <w:r>
        <w:rPr>
          <w:rFonts w:eastAsia="Times New Roman" w:ascii="Arial" w:hAnsi="Arial"/>
          <w:spacing w:val="26"/>
          <w:sz w:val="22"/>
          <w:szCs w:val="22"/>
          <w:lang w:eastAsia="ar-SA"/>
        </w:rPr>
        <w:t xml:space="preserve"> </w:t>
      </w:r>
      <w:r>
        <w:rPr>
          <w:rFonts w:eastAsia="Times New Roman" w:ascii="Arial" w:hAnsi="Arial"/>
          <w:sz w:val="22"/>
          <w:szCs w:val="22"/>
          <w:lang w:eastAsia="ar-SA"/>
        </w:rPr>
        <w:t>nº</w:t>
      </w:r>
      <w:r>
        <w:rPr>
          <w:rFonts w:eastAsia="Times New Roman" w:ascii="Arial" w:hAnsi="Arial"/>
          <w:spacing w:val="27"/>
          <w:sz w:val="22"/>
          <w:szCs w:val="22"/>
          <w:lang w:eastAsia="ar-SA"/>
        </w:rPr>
        <w:t xml:space="preserve"> </w:t>
      </w:r>
      <w:r>
        <w:rPr>
          <w:rFonts w:eastAsia="Times New Roman" w:ascii="Arial" w:hAnsi="Arial"/>
          <w:sz w:val="22"/>
          <w:szCs w:val="22"/>
          <w:lang w:eastAsia="ar-SA"/>
        </w:rPr>
        <w:t>.............,</w:t>
      </w:r>
      <w:r>
        <w:rPr>
          <w:rFonts w:eastAsia="Times New Roman" w:ascii="Arial" w:hAnsi="Arial"/>
          <w:spacing w:val="36"/>
          <w:sz w:val="22"/>
          <w:szCs w:val="22"/>
          <w:lang w:eastAsia="ar-SA"/>
        </w:rPr>
        <w:t xml:space="preserve"> </w:t>
      </w:r>
      <w:r>
        <w:rPr>
          <w:rFonts w:eastAsia="Times New Roman" w:ascii="Arial" w:hAnsi="Arial"/>
          <w:sz w:val="22"/>
          <w:szCs w:val="22"/>
          <w:lang w:eastAsia="ar-SA"/>
        </w:rPr>
        <w:t>sediada</w:t>
      </w:r>
      <w:r>
        <w:rPr>
          <w:rFonts w:eastAsia="Times New Roman" w:ascii="Arial" w:hAnsi="Arial"/>
          <w:spacing w:val="29"/>
          <w:sz w:val="22"/>
          <w:szCs w:val="22"/>
          <w:lang w:eastAsia="ar-SA"/>
        </w:rPr>
        <w:t xml:space="preserve"> </w:t>
      </w:r>
      <w:r>
        <w:rPr>
          <w:rFonts w:eastAsia="Times New Roman" w:ascii="Arial" w:hAnsi="Arial"/>
          <w:sz w:val="22"/>
          <w:szCs w:val="22"/>
          <w:lang w:eastAsia="ar-SA"/>
        </w:rPr>
        <w:t>à</w:t>
      </w:r>
      <w:r>
        <w:rPr>
          <w:rFonts w:eastAsia="Times New Roman" w:ascii="Arial" w:hAnsi="Arial"/>
          <w:spacing w:val="26"/>
          <w:sz w:val="22"/>
          <w:szCs w:val="22"/>
          <w:lang w:eastAsia="ar-SA"/>
        </w:rPr>
        <w:t xml:space="preserve"> </w:t>
      </w:r>
      <w:r>
        <w:rPr>
          <w:rFonts w:eastAsia="Times New Roman" w:ascii="Arial" w:hAnsi="Arial"/>
          <w:sz w:val="22"/>
          <w:szCs w:val="22"/>
          <w:lang w:eastAsia="ar-SA"/>
        </w:rPr>
        <w:t>(Rua,</w:t>
      </w:r>
      <w:r>
        <w:rPr>
          <w:rFonts w:eastAsia="Times New Roman" w:ascii="Arial" w:hAnsi="Arial"/>
          <w:spacing w:val="29"/>
          <w:sz w:val="22"/>
          <w:szCs w:val="22"/>
          <w:lang w:eastAsia="ar-SA"/>
        </w:rPr>
        <w:t xml:space="preserve"> </w:t>
      </w:r>
      <w:r>
        <w:rPr>
          <w:rFonts w:eastAsia="Times New Roman" w:ascii="Arial" w:hAnsi="Arial"/>
          <w:sz w:val="22"/>
          <w:szCs w:val="22"/>
          <w:lang w:eastAsia="ar-SA"/>
        </w:rPr>
        <w:t>№,</w:t>
      </w:r>
      <w:r>
        <w:rPr>
          <w:rFonts w:eastAsia="Times New Roman" w:ascii="Arial" w:hAnsi="Arial"/>
          <w:spacing w:val="29"/>
          <w:sz w:val="22"/>
          <w:szCs w:val="22"/>
          <w:lang w:eastAsia="ar-SA"/>
        </w:rPr>
        <w:t xml:space="preserve"> </w:t>
      </w:r>
      <w:r>
        <w:rPr>
          <w:rFonts w:eastAsia="Times New Roman" w:ascii="Arial" w:hAnsi="Arial"/>
          <w:sz w:val="22"/>
          <w:szCs w:val="22"/>
          <w:lang w:eastAsia="ar-SA"/>
        </w:rPr>
        <w:t>Bairro,</w:t>
      </w:r>
      <w:r>
        <w:rPr>
          <w:rFonts w:eastAsia="Times New Roman" w:ascii="Arial" w:hAnsi="Arial"/>
          <w:spacing w:val="-53"/>
          <w:sz w:val="22"/>
          <w:szCs w:val="22"/>
          <w:lang w:eastAsia="ar-SA"/>
        </w:rPr>
        <w:t xml:space="preserve"> </w:t>
      </w:r>
      <w:r>
        <w:rPr>
          <w:rFonts w:eastAsia="Times New Roman" w:ascii="Arial" w:hAnsi="Arial"/>
          <w:sz w:val="22"/>
          <w:szCs w:val="22"/>
          <w:lang w:eastAsia="ar-SA"/>
        </w:rPr>
        <w:t>Cidade</w:t>
        <w:tab/>
        <w:t>–</w:t>
        <w:tab/>
        <w:t>UF),</w:t>
        <w:tab/>
      </w:r>
      <w:r>
        <w:rPr>
          <w:rFonts w:eastAsia="Times New Roman" w:ascii="Arial" w:hAnsi="Arial"/>
          <w:b/>
          <w:sz w:val="22"/>
          <w:szCs w:val="22"/>
          <w:u w:val="thick" w:color="000009"/>
          <w:lang w:eastAsia="ar-SA"/>
        </w:rPr>
        <w:t>DECLARA</w:t>
      </w:r>
      <w:r>
        <w:rPr>
          <w:rFonts w:eastAsia="Times New Roman" w:ascii="Arial" w:hAnsi="Arial"/>
          <w:b/>
          <w:sz w:val="22"/>
          <w:szCs w:val="22"/>
          <w:lang w:eastAsia="ar-SA"/>
        </w:rPr>
        <w:tab/>
      </w:r>
      <w:r>
        <w:rPr>
          <w:rFonts w:eastAsia="Times New Roman" w:ascii="Arial" w:hAnsi="Arial"/>
          <w:sz w:val="22"/>
          <w:szCs w:val="22"/>
          <w:lang w:eastAsia="ar-SA"/>
        </w:rPr>
        <w:t>por</w:t>
        <w:tab/>
        <w:t>intermédio</w:t>
        <w:tab/>
        <w:t>de</w:t>
        <w:tab/>
        <w:t>seu</w:t>
        <w:tab/>
        <w:t>representante</w:t>
        <w:tab/>
        <w:t>legal</w:t>
        <w:tab/>
        <w:t>o(a)</w:t>
        <w:tab/>
        <w:t>Sr(a)</w:t>
      </w:r>
    </w:p>
    <w:p>
      <w:pPr>
        <w:pStyle w:val="Corpodotexto"/>
        <w:jc w:val="both"/>
        <w:rPr>
          <w:rFonts w:ascii="Arial" w:hAnsi="Arial" w:eastAsia="Times New Roman"/>
          <w:bCs/>
          <w:sz w:val="22"/>
          <w:szCs w:val="22"/>
          <w:lang w:eastAsia="ar-SA"/>
        </w:rPr>
      </w:pPr>
      <w:r>
        <w:rPr>
          <w:rFonts w:eastAsia="Times New Roman" w:ascii="Arial" w:hAnsi="Arial"/>
          <w:b/>
          <w:sz w:val="22"/>
          <w:szCs w:val="22"/>
          <w:lang w:eastAsia="ar-SA"/>
        </w:rPr>
        <w:t xml:space="preserve">................................................, </w:t>
      </w:r>
      <w:r>
        <w:rPr>
          <w:rFonts w:eastAsia="Times New Roman" w:ascii="Arial" w:hAnsi="Arial"/>
          <w:bCs/>
          <w:sz w:val="22"/>
          <w:szCs w:val="22"/>
          <w:lang w:eastAsia="ar-SA"/>
        </w:rPr>
        <w:t>portador(a) da cédula de identidade nº</w:t>
        <w:tab/>
        <w:t xml:space="preserve">que em atendimento à determinação do Edital referenciado, que não emprego menor de 18 anos em trabalho noturno, perigoso ou  insalubre e não emprego menor de 16 anos, salvo menor, a partir de 14 anos, na condição de aprendiz, nos termos do artigo 7º, XXXIII, da Constituição Federal.  </w:t>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t xml:space="preserve">Ressalva:  (    ) emprego menor, a partir de quatorze anos, na condição de aprendiz. </w:t>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t xml:space="preserve">Obs.: em caso afirmativo, assinalar a ressalva acima </w:t>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t xml:space="preserve">                                 </w:t>
      </w:r>
      <w:r>
        <w:rPr>
          <w:rFonts w:eastAsia="Times New Roman" w:ascii="Arial" w:hAnsi="Arial"/>
          <w:bCs/>
          <w:sz w:val="22"/>
          <w:szCs w:val="22"/>
          <w:lang w:eastAsia="ar-SA"/>
        </w:rPr>
        <w:t xml:space="preserve">__________________________________________ </w:t>
      </w:r>
    </w:p>
    <w:p>
      <w:pPr>
        <w:pStyle w:val="Corpodotexto"/>
        <w:jc w:val="center"/>
        <w:rPr>
          <w:rFonts w:ascii="Arial" w:hAnsi="Arial" w:eastAsia="Times New Roman"/>
          <w:bCs/>
          <w:sz w:val="22"/>
          <w:szCs w:val="22"/>
          <w:lang w:eastAsia="ar-SA"/>
        </w:rPr>
      </w:pPr>
      <w:r>
        <w:rPr>
          <w:rFonts w:eastAsia="Times New Roman" w:ascii="Arial" w:hAnsi="Arial"/>
          <w:bCs/>
          <w:sz w:val="22"/>
          <w:szCs w:val="22"/>
          <w:lang w:eastAsia="ar-SA"/>
        </w:rPr>
        <w:t>EMPRESA LICITANTE/CNPJ</w:t>
      </w:r>
    </w:p>
    <w:p>
      <w:pPr>
        <w:pStyle w:val="Corpodotexto"/>
        <w:jc w:val="center"/>
        <w:rPr>
          <w:rFonts w:ascii="Arial" w:hAnsi="Arial" w:eastAsia="Times New Roman"/>
          <w:bCs/>
          <w:sz w:val="22"/>
          <w:szCs w:val="22"/>
          <w:lang w:eastAsia="ar-SA"/>
        </w:rPr>
      </w:pPr>
      <w:r>
        <w:rPr>
          <w:rFonts w:eastAsia="Times New Roman" w:ascii="Arial" w:hAnsi="Arial"/>
          <w:bCs/>
          <w:sz w:val="22"/>
          <w:szCs w:val="22"/>
          <w:lang w:eastAsia="ar-SA"/>
        </w:rPr>
        <w:t>ASSINATURA DO REPRESENTANTE LEGAL</w:t>
      </w:r>
    </w:p>
    <w:p>
      <w:pPr>
        <w:pStyle w:val="Corpodotexto"/>
        <w:jc w:val="center"/>
        <w:rPr>
          <w:rFonts w:ascii="Arial" w:hAnsi="Arial" w:eastAsia="Times New Roman"/>
          <w:bCs/>
          <w:sz w:val="22"/>
          <w:szCs w:val="22"/>
          <w:lang w:eastAsia="ar-SA"/>
        </w:rPr>
      </w:pPr>
      <w:r>
        <w:rPr>
          <w:rFonts w:eastAsia="Times New Roman" w:ascii="Arial" w:hAnsi="Arial"/>
          <w:bCs/>
          <w:sz w:val="22"/>
          <w:szCs w:val="22"/>
          <w:lang w:eastAsia="ar-SA"/>
        </w:rPr>
        <w:t>CPF DO REPRESENTANTE LEGAL</w:t>
      </w:r>
    </w:p>
    <w:p>
      <w:pPr>
        <w:pStyle w:val="Corpodotexto"/>
        <w:jc w:val="both"/>
        <w:rPr>
          <w:rFonts w:ascii="Arial" w:hAnsi="Arial" w:eastAsia="Times New Roman"/>
          <w:bCs/>
          <w:sz w:val="22"/>
          <w:szCs w:val="22"/>
          <w:lang w:eastAsia="ar-SA"/>
        </w:rPr>
      </w:pPr>
      <w:r>
        <w:rPr>
          <w:rFonts w:eastAsia="Times New Roman" w:ascii="Arial" w:hAnsi="Arial"/>
          <w:bCs/>
          <w:sz w:val="22"/>
          <w:szCs w:val="22"/>
          <w:lang w:eastAsia="ar-SA"/>
        </w:rPr>
      </w:r>
    </w:p>
    <w:p>
      <w:pPr>
        <w:pStyle w:val="Corpodotexto"/>
        <w:jc w:val="both"/>
        <w:rPr>
          <w:rFonts w:ascii="Arial" w:hAnsi="Arial" w:eastAsia="Times New Roman"/>
          <w:b/>
          <w:b/>
          <w:sz w:val="22"/>
          <w:szCs w:val="22"/>
          <w:lang w:eastAsia="ar-SA"/>
        </w:rPr>
      </w:pPr>
      <w:r>
        <w:rPr>
          <w:rFonts w:eastAsia="Times New Roman" w:ascii="Arial" w:hAnsi="Arial"/>
          <w:b/>
          <w:sz w:val="22"/>
          <w:szCs w:val="22"/>
          <w:lang w:eastAsia="ar-SA"/>
        </w:rPr>
      </w:r>
    </w:p>
    <w:p>
      <w:pPr>
        <w:pStyle w:val="Ttulo1"/>
        <w:ind w:left="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hanging="0"/>
        <w:jc w:val="center"/>
        <w:rPr>
          <w:sz w:val="22"/>
          <w:szCs w:val="22"/>
        </w:rPr>
      </w:pPr>
      <w:r>
        <w:rPr>
          <w:sz w:val="22"/>
          <w:szCs w:val="22"/>
        </w:rPr>
      </w:r>
    </w:p>
    <w:p>
      <w:pPr>
        <w:pStyle w:val="Ttulo1"/>
        <w:ind w:left="0" w:hanging="0"/>
        <w:jc w:val="center"/>
        <w:rPr>
          <w:sz w:val="22"/>
          <w:szCs w:val="22"/>
        </w:rPr>
      </w:pPr>
      <w:r>
        <w:rPr>
          <w:sz w:val="22"/>
          <w:szCs w:val="22"/>
        </w:rPr>
      </w:r>
    </w:p>
    <w:p>
      <w:pPr>
        <w:pStyle w:val="Ttulo1"/>
        <w:ind w:left="0" w:hanging="0"/>
        <w:jc w:val="center"/>
        <w:rPr>
          <w:sz w:val="22"/>
          <w:szCs w:val="22"/>
        </w:rPr>
      </w:pPr>
      <w:r>
        <w:rPr>
          <w:color w:val="000009"/>
          <w:sz w:val="22"/>
          <w:szCs w:val="22"/>
        </w:rPr>
        <w:t>ANEXO X - MODELO DE DECLARAÇÃO UNIFICADA</w:t>
      </w:r>
    </w:p>
    <w:p>
      <w:pPr>
        <w:pStyle w:val="Ttulo1"/>
        <w:ind w:left="0" w:hanging="0"/>
        <w:jc w:val="center"/>
        <w:rPr>
          <w:sz w:val="22"/>
          <w:szCs w:val="22"/>
        </w:rPr>
      </w:pPr>
      <w:r>
        <w:rPr>
          <w:color w:val="000009"/>
          <w:sz w:val="22"/>
          <w:szCs w:val="22"/>
        </w:rPr>
        <w:t xml:space="preserve"> </w:t>
      </w:r>
      <w:r>
        <w:rPr>
          <w:color w:val="000009"/>
          <w:sz w:val="22"/>
          <w:szCs w:val="22"/>
        </w:rPr>
        <w:t>(papel timbrado da licitante)</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Ttulo1"/>
        <w:ind w:left="0" w:hanging="0"/>
        <w:rPr>
          <w:sz w:val="22"/>
          <w:szCs w:val="22"/>
        </w:rPr>
      </w:pPr>
      <w:r>
        <w:rPr>
          <w:color w:val="000009"/>
          <w:sz w:val="22"/>
          <w:szCs w:val="22"/>
        </w:rPr>
        <w:t xml:space="preserve"> </w:t>
      </w:r>
      <w:r>
        <w:rPr>
          <w:color w:val="000009"/>
          <w:sz w:val="22"/>
          <w:szCs w:val="22"/>
        </w:rPr>
        <w:t xml:space="preserve">À </w:t>
      </w:r>
    </w:p>
    <w:p>
      <w:pPr>
        <w:pStyle w:val="Ttulo1"/>
        <w:ind w:left="0" w:hanging="0"/>
        <w:rPr>
          <w:sz w:val="22"/>
          <w:szCs w:val="22"/>
        </w:rPr>
      </w:pPr>
      <w:r>
        <w:rPr>
          <w:color w:val="000009"/>
          <w:sz w:val="22"/>
          <w:szCs w:val="22"/>
        </w:rPr>
        <w:t xml:space="preserve">PREFEITURA MUNICIPAL DE ARACRUZ - ES </w:t>
      </w:r>
    </w:p>
    <w:p>
      <w:pPr>
        <w:pStyle w:val="Ttulo1"/>
        <w:ind w:left="0" w:hanging="0"/>
        <w:rPr>
          <w:sz w:val="22"/>
          <w:szCs w:val="22"/>
        </w:rPr>
      </w:pPr>
      <w:r>
        <w:rPr>
          <w:color w:val="000009"/>
          <w:sz w:val="22"/>
          <w:szCs w:val="22"/>
        </w:rPr>
        <w:t>REF.: CONCORRÊNCIA Nº XXX/2025</w:t>
      </w:r>
    </w:p>
    <w:p>
      <w:pPr>
        <w:pStyle w:val="Ttulo1"/>
        <w:ind w:left="0" w:hanging="0"/>
        <w:jc w:val="center"/>
        <w:rPr>
          <w:color w:val="000009"/>
        </w:rPr>
      </w:pPr>
      <w:r>
        <w:rPr>
          <w:color w:val="000009"/>
        </w:rPr>
      </w:r>
    </w:p>
    <w:p>
      <w:pPr>
        <w:pStyle w:val="Ttulo1"/>
        <w:ind w:left="0" w:hanging="0"/>
        <w:jc w:val="center"/>
        <w:rPr>
          <w:color w:val="000009"/>
        </w:rPr>
      </w:pPr>
      <w:r>
        <w:rPr>
          <w:color w:val="000009"/>
        </w:rPr>
      </w:r>
    </w:p>
    <w:p>
      <w:pPr>
        <w:pStyle w:val="N111"/>
        <w:ind w:left="0" w:hanging="0"/>
        <w:rPr>
          <w:sz w:val="22"/>
        </w:rPr>
      </w:pPr>
      <w:r>
        <w:rPr>
          <w:rFonts w:cs="Arial"/>
          <w:sz w:val="22"/>
        </w:rPr>
        <w:t>(RAZÃO SOCIAL DA EMPRESA), estabelecida na ....(ENDEREÇO COMPLETO)...., inscrita no CNPJ sob nº ......................, neste ato representada pelo seu (REPRESENTANTE/SÓCIO/PROCURADOR) no uso de suas atribuições legais, vem:</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b/>
          <w:sz w:val="22"/>
        </w:rPr>
        <w:t>DECLARAR</w:t>
      </w:r>
      <w:r>
        <w:rPr>
          <w:rFonts w:cs="Arial"/>
          <w:sz w:val="22"/>
        </w:rPr>
        <w:t xml:space="preserve">, </w:t>
      </w:r>
      <w:r>
        <w:rPr>
          <w:rFonts w:cs="Arial"/>
          <w:b/>
          <w:bCs/>
          <w:sz w:val="22"/>
        </w:rPr>
        <w:t>sob as penas da Lei e para fins de participação no presente certame, que:</w:t>
      </w:r>
    </w:p>
    <w:p>
      <w:pPr>
        <w:pStyle w:val="N111"/>
        <w:spacing w:before="0" w:after="0"/>
        <w:rPr>
          <w:rFonts w:cs="Arial"/>
          <w:sz w:val="22"/>
        </w:rPr>
      </w:pPr>
      <w:r>
        <w:rPr>
          <w:rFonts w:cs="Arial"/>
          <w:sz w:val="22"/>
        </w:rPr>
      </w:r>
    </w:p>
    <w:p>
      <w:pPr>
        <w:pStyle w:val="Normal"/>
        <w:jc w:val="both"/>
        <w:rPr>
          <w:rFonts w:ascii="Arial" w:hAnsi="Arial"/>
        </w:rPr>
      </w:pPr>
      <w:r>
        <w:rPr>
          <w:rFonts w:eastAsia="Arial" w:ascii="Arial" w:hAnsi="Arial"/>
          <w:color w:val="000000" w:themeColor="text1"/>
        </w:rPr>
        <w:t xml:space="preserve">a) a empresa recebeu cópias de todos os instrumentos que compõem a </w:t>
      </w:r>
      <w:r>
        <w:rPr>
          <w:rFonts w:eastAsia="Arial" w:ascii="Arial" w:hAnsi="Arial"/>
          <w:b/>
          <w:color w:val="000000" w:themeColor="text1"/>
        </w:rPr>
        <w:t>CONCORRÊNCIA ELETRÔNICA Nº 007/2025</w:t>
      </w:r>
      <w:r>
        <w:rPr>
          <w:rFonts w:eastAsia="Arial" w:ascii="Arial" w:hAnsi="Arial"/>
          <w:color w:val="000000" w:themeColor="text1"/>
        </w:rPr>
        <w:t xml:space="preserve"> em referência, bem como possui todas as informações necessárias à formulação da proposta, e, ainda, que tem conhecimento das condições locais, necessárias à execução do objeto ora licitado, de conformidade com a Lei nº 14.133/2021.</w:t>
      </w:r>
    </w:p>
    <w:p>
      <w:pPr>
        <w:pStyle w:val="Normal"/>
        <w:jc w:val="both"/>
        <w:rPr>
          <w:rFonts w:ascii="Arial" w:hAnsi="Arial"/>
        </w:rPr>
      </w:pPr>
      <w:r>
        <w:rPr>
          <w:rFonts w:ascii="Arial" w:hAnsi="Arial"/>
        </w:rPr>
      </w:r>
    </w:p>
    <w:p>
      <w:pPr>
        <w:pStyle w:val="Normal"/>
        <w:jc w:val="both"/>
        <w:rPr>
          <w:rFonts w:ascii="Arial" w:hAnsi="Arial"/>
        </w:rPr>
      </w:pPr>
      <w:r>
        <w:rPr>
          <w:rFonts w:eastAsia="Arial" w:ascii="Arial" w:hAnsi="Arial"/>
          <w:color w:val="000000" w:themeColor="text1"/>
        </w:rPr>
        <w:t>b) a empresa se submete integral e irretratavelmente, a todas as exigências deste edital, inclusive ao cumprimento do calendário e emissão de Ordem de Serviço para liberação dos serviços, sem receber compensação pela não liberação de trabalho quando ocorrem fatos que impeçam a execução contínua dos serviços licitados.</w:t>
      </w:r>
    </w:p>
    <w:p>
      <w:pPr>
        <w:pStyle w:val="Normal"/>
        <w:jc w:val="both"/>
        <w:rPr>
          <w:rFonts w:ascii="Arial" w:hAnsi="Arial"/>
        </w:rPr>
      </w:pPr>
      <w:r>
        <w:rPr>
          <w:rFonts w:ascii="Arial" w:hAnsi="Arial"/>
        </w:rPr>
      </w:r>
    </w:p>
    <w:p>
      <w:pPr>
        <w:pStyle w:val="N111"/>
        <w:spacing w:before="0" w:after="0"/>
        <w:ind w:left="0" w:hanging="0"/>
        <w:rPr>
          <w:sz w:val="22"/>
        </w:rPr>
      </w:pPr>
      <w:r>
        <w:rPr>
          <w:rFonts w:cs="Arial"/>
          <w:sz w:val="22"/>
        </w:rPr>
        <w:t>c) cumpre plenamente os requisitos de habilitação, e que sua proposta está em conformidade com as exigências estabelecidos no instrumento convocatório.</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d) não mantêm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e) inexiste fato impeditivo a sua participação na CONCORRÊNCIA ELETRÔNICA Nº XXX/2025 e, ainda, que não está impedida de participar de licitações de quaisquer órgãos ou entidades da Administração Pública.</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f)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da entrega das propostas.</w:t>
      </w:r>
    </w:p>
    <w:p>
      <w:pPr>
        <w:pStyle w:val="N111"/>
        <w:spacing w:before="0" w:after="0"/>
        <w:ind w:left="0" w:hanging="0"/>
        <w:rPr>
          <w:rFonts w:cs="Arial"/>
          <w:sz w:val="22"/>
        </w:rPr>
      </w:pPr>
      <w:r>
        <w:rPr>
          <w:rFonts w:cs="Arial"/>
          <w:sz w:val="22"/>
        </w:rPr>
      </w:r>
    </w:p>
    <w:p>
      <w:pPr>
        <w:pStyle w:val="N111"/>
        <w:spacing w:before="0" w:after="0"/>
        <w:ind w:left="0" w:hanging="0"/>
        <w:rPr>
          <w:sz w:val="22"/>
        </w:rPr>
      </w:pPr>
      <w:r>
        <w:rPr>
          <w:rFonts w:cs="Arial"/>
          <w:sz w:val="22"/>
        </w:rPr>
        <w:t>g) não possui, em sua cadeia produtiva, empregados executando trabalho degradante ou forçado, observando o disposto nos incisos III e IV do art. 1º e no inciso III d art. 5º da Constituição Federal;</w:t>
      </w:r>
    </w:p>
    <w:p>
      <w:pPr>
        <w:pStyle w:val="N111"/>
        <w:ind w:left="0" w:hanging="0"/>
        <w:rPr>
          <w:sz w:val="22"/>
        </w:rPr>
      </w:pPr>
      <w:r>
        <w:rPr>
          <w:rFonts w:cs="Arial"/>
          <w:sz w:val="22"/>
        </w:rPr>
        <w:t>h) cumpre as exigências de reserva de cargos para pessoa com deficiência  para reabilitado da Previdência Social, previstas em lei e em outras normas específicas;</w:t>
      </w:r>
    </w:p>
    <w:p>
      <w:pPr>
        <w:pStyle w:val="N111"/>
        <w:spacing w:before="0" w:after="0"/>
        <w:ind w:left="0" w:hanging="0"/>
        <w:rPr>
          <w:sz w:val="22"/>
        </w:rPr>
      </w:pPr>
      <w:r>
        <w:rPr>
          <w:rFonts w:cs="Arial"/>
          <w:sz w:val="22"/>
        </w:rPr>
        <w:t>i) está ciente sobre a observação das disposições da Lei Federal nº 13.709, d 14 de agosto de 2018 (Lei Geral de Proteção de Dados Pessoais), e alterações, quando do tratamento de dados pessoais e dados pessoais sensíveis a que tenha acesso, para o propósito de execução e acompanhamento do objeto licitado, não podendo divulgar, revelar, produzir utilizar ou deles dar conhecimento a terceiros estranhos a esta contratação, a não ser por força de obrigação legal ou regulatória.</w:t>
      </w:r>
    </w:p>
    <w:p>
      <w:pPr>
        <w:pStyle w:val="N111"/>
        <w:spacing w:before="0" w:after="0"/>
        <w:rPr>
          <w:rFonts w:cs="Arial"/>
          <w:sz w:val="22"/>
        </w:rPr>
      </w:pPr>
      <w:r>
        <w:rPr>
          <w:rFonts w:cs="Arial"/>
          <w:sz w:val="22"/>
        </w:rPr>
      </w:r>
    </w:p>
    <w:p>
      <w:pPr>
        <w:pStyle w:val="Normal"/>
        <w:jc w:val="both"/>
        <w:rPr>
          <w:rFonts w:ascii="Arial" w:hAnsi="Arial"/>
        </w:rPr>
      </w:pPr>
      <w:r>
        <w:rPr>
          <w:rFonts w:cs="Arial" w:ascii="Arial" w:hAnsi="Arial"/>
        </w:rPr>
        <w:t>j) a proposta apresentada para participar da presente Licitação foi elaborada de maneira independente (pelo  Licitante /  Consórcio), e o conteúdo da proposta não foi, no todo ou em parte, direta ou indiretamente, informado, discutido ou recebido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k) a intenção de apresentar a proposta elaborada para participar da presente Licitação não foi informada, discutida ou recebida de qualquer outro participante potencial ou de fato da presente Licitação, por qualquer meio ou por qualquer pessoa;</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l) não tentou, por qualquer meio ou por qualquer pessoa, influir na decisão de qualquer outro participante potencial ou de fato da presente Licitação quanto a participar ou não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m) o conteúdo da proposta apresentada para participar da presente Licitação não será, no todo ou em parte, direta ou indiretamente, comunicado ou discutido com qualquer outro participante potencial ou de fato da presente Licitação antes da adjudicação do objeto da referida licitação;</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n) o conteúdo da proposta apresentada para participar da presente Licitação não foi, no todo ou em parte, direta ou indiretamente, informado, discutido ou recebido de qualquer integrante do órgão licitante antes da abertura oficial das propostas; e</w:t>
      </w:r>
    </w:p>
    <w:p>
      <w:pPr>
        <w:pStyle w:val="Normal"/>
        <w:jc w:val="both"/>
        <w:rPr>
          <w:rFonts w:ascii="Arial" w:hAnsi="Arial"/>
        </w:rPr>
      </w:pPr>
      <w:r>
        <w:rPr>
          <w:rFonts w:ascii="Arial" w:hAnsi="Arial"/>
        </w:rPr>
      </w:r>
    </w:p>
    <w:p>
      <w:pPr>
        <w:pStyle w:val="Normal"/>
        <w:jc w:val="both"/>
        <w:rPr>
          <w:rFonts w:ascii="Arial" w:hAnsi="Arial"/>
        </w:rPr>
      </w:pPr>
      <w:r>
        <w:rPr>
          <w:rFonts w:cs="Arial" w:ascii="Arial" w:hAnsi="Arial"/>
        </w:rPr>
        <w:t>o) está plenamente ciente do teor e da extensão desta declaração e que detém plenos poderes e informações para firmá-la.</w:t>
      </w:r>
    </w:p>
    <w:p>
      <w:pPr>
        <w:pStyle w:val="N111"/>
        <w:ind w:left="0" w:hanging="0"/>
        <w:rPr>
          <w:sz w:val="22"/>
        </w:rPr>
      </w:pPr>
      <w:r>
        <w:rPr>
          <w:rFonts w:cs="Arial"/>
          <w:sz w:val="22"/>
        </w:rPr>
        <w:t>Por ser verdade assina a presente.</w:t>
      </w:r>
    </w:p>
    <w:p>
      <w:pPr>
        <w:pStyle w:val="Ttulo1"/>
        <w:spacing w:before="93" w:after="0"/>
        <w:ind w:left="0" w:right="680" w:hanging="0"/>
        <w:jc w:val="both"/>
        <w:rPr>
          <w:sz w:val="22"/>
          <w:szCs w:val="22"/>
        </w:rPr>
      </w:pPr>
      <w:r>
        <w:rPr>
          <w:b w:val="false"/>
          <w:bCs w:val="false"/>
          <w:color w:val="000009"/>
          <w:spacing w:val="-1"/>
          <w:sz w:val="22"/>
          <w:szCs w:val="22"/>
        </w:rPr>
        <w:t>Município /UF, ____ de __________ de 2025.</w:t>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spacing w:before="93" w:after="0"/>
        <w:ind w:left="0" w:right="680" w:hanging="0"/>
        <w:jc w:val="both"/>
        <w:rPr>
          <w:b w:val="false"/>
          <w:b w:val="false"/>
          <w:bCs w:val="false"/>
          <w:color w:val="000009"/>
          <w:spacing w:val="-1"/>
        </w:rPr>
      </w:pPr>
      <w:r>
        <w:rPr>
          <w:b w:val="false"/>
          <w:bCs w:val="false"/>
          <w:color w:val="000009"/>
          <w:spacing w:val="-1"/>
        </w:rPr>
      </w:r>
    </w:p>
    <w:p>
      <w:pPr>
        <w:pStyle w:val="Ttulo1"/>
        <w:ind w:left="0" w:hanging="0"/>
        <w:jc w:val="center"/>
        <w:rPr>
          <w:sz w:val="22"/>
          <w:szCs w:val="22"/>
        </w:rPr>
      </w:pPr>
      <w:r>
        <w:rPr>
          <w:b w:val="false"/>
          <w:bCs w:val="false"/>
          <w:color w:val="000009"/>
          <w:spacing w:val="-1"/>
          <w:sz w:val="22"/>
          <w:szCs w:val="22"/>
        </w:rPr>
        <w:t xml:space="preserve"> </w:t>
      </w:r>
      <w:r>
        <w:rPr>
          <w:b w:val="false"/>
          <w:bCs w:val="false"/>
          <w:color w:val="000009"/>
          <w:spacing w:val="-1"/>
          <w:sz w:val="22"/>
          <w:szCs w:val="22"/>
        </w:rPr>
        <w:t xml:space="preserve">__________________________________________ </w:t>
      </w:r>
    </w:p>
    <w:p>
      <w:pPr>
        <w:pStyle w:val="Ttulo1"/>
        <w:ind w:left="0" w:hanging="0"/>
        <w:jc w:val="center"/>
        <w:rPr>
          <w:sz w:val="22"/>
          <w:szCs w:val="22"/>
        </w:rPr>
      </w:pPr>
      <w:r>
        <w:rPr>
          <w:b w:val="false"/>
          <w:bCs w:val="false"/>
          <w:color w:val="000009"/>
          <w:spacing w:val="-1"/>
          <w:sz w:val="22"/>
          <w:szCs w:val="22"/>
        </w:rPr>
        <w:t xml:space="preserve">EMPRESA LICITANTE/CNPJ </w:t>
      </w:r>
    </w:p>
    <w:p>
      <w:pPr>
        <w:pStyle w:val="Ttulo1"/>
        <w:ind w:left="0" w:hanging="0"/>
        <w:jc w:val="center"/>
        <w:rPr>
          <w:sz w:val="22"/>
          <w:szCs w:val="22"/>
        </w:rPr>
      </w:pPr>
      <w:r>
        <w:rPr>
          <w:b w:val="false"/>
          <w:bCs w:val="false"/>
          <w:color w:val="000009"/>
          <w:spacing w:val="-1"/>
          <w:sz w:val="22"/>
          <w:szCs w:val="22"/>
        </w:rPr>
        <w:t xml:space="preserve">ASSINATURA DO REPRESENTANTE LEGAL </w:t>
      </w:r>
    </w:p>
    <w:p>
      <w:pPr>
        <w:pStyle w:val="Ttulo1"/>
        <w:ind w:left="0" w:hanging="0"/>
        <w:jc w:val="center"/>
        <w:rPr>
          <w:sz w:val="22"/>
          <w:szCs w:val="22"/>
        </w:rPr>
      </w:pPr>
      <w:r>
        <w:rPr>
          <w:b w:val="false"/>
          <w:bCs w:val="false"/>
          <w:color w:val="000009"/>
          <w:spacing w:val="-1"/>
          <w:sz w:val="22"/>
          <w:szCs w:val="22"/>
        </w:rPr>
        <w:t>CPF DO REPRESENTANTE LEGAL</w:t>
      </w:r>
    </w:p>
    <w:p>
      <w:pPr>
        <w:pStyle w:val="Ttulo1"/>
        <w:spacing w:before="93" w:after="0"/>
        <w:ind w:left="0" w:right="680" w:hanging="0"/>
        <w:rPr>
          <w:b w:val="false"/>
          <w:b w:val="false"/>
          <w:bCs w:val="false"/>
          <w:sz w:val="22"/>
          <w:szCs w:val="22"/>
        </w:rPr>
      </w:pPr>
      <w:r>
        <w:rPr>
          <w:b w:val="false"/>
          <w:bCs w:val="false"/>
          <w:sz w:val="22"/>
          <w:szCs w:val="22"/>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spacing w:lineRule="auto" w:line="360" w:before="92" w:after="0"/>
        <w:ind w:left="0" w:right="1020" w:hanging="0"/>
        <w:jc w:val="center"/>
        <w:rPr>
          <w:color w:val="000009"/>
        </w:rPr>
      </w:pPr>
      <w:r>
        <w:rPr>
          <w:color w:val="000009"/>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sz w:val="22"/>
          <w:szCs w:val="22"/>
        </w:rPr>
      </w:r>
    </w:p>
    <w:p>
      <w:pPr>
        <w:pStyle w:val="Ttulo1"/>
        <w:ind w:left="0" w:right="542" w:hanging="0"/>
        <w:jc w:val="center"/>
        <w:rPr>
          <w:sz w:val="22"/>
          <w:szCs w:val="22"/>
        </w:rPr>
      </w:pPr>
      <w:r>
        <w:rPr>
          <w:color w:val="000009"/>
          <w:spacing w:val="-2"/>
          <w:sz w:val="22"/>
          <w:szCs w:val="22"/>
        </w:rPr>
        <w:t xml:space="preserve">ANEXO XI – </w:t>
      </w:r>
      <w:r>
        <w:rPr>
          <w:spacing w:val="-1"/>
          <w:sz w:val="22"/>
          <w:szCs w:val="22"/>
        </w:rPr>
        <w:t>MINUTA</w:t>
      </w:r>
      <w:r>
        <w:rPr>
          <w:spacing w:val="-13"/>
          <w:sz w:val="22"/>
          <w:szCs w:val="22"/>
        </w:rPr>
        <w:t xml:space="preserve"> </w:t>
      </w:r>
      <w:r>
        <w:rPr>
          <w:spacing w:val="-1"/>
          <w:sz w:val="22"/>
          <w:szCs w:val="22"/>
        </w:rPr>
        <w:t>DE</w:t>
      </w:r>
      <w:r>
        <w:rPr>
          <w:spacing w:val="-7"/>
          <w:sz w:val="22"/>
          <w:szCs w:val="22"/>
        </w:rPr>
        <w:t xml:space="preserve"> TERMO DE </w:t>
      </w:r>
      <w:r>
        <w:rPr>
          <w:spacing w:val="-1"/>
          <w:sz w:val="22"/>
          <w:szCs w:val="22"/>
        </w:rPr>
        <w:t>CONTRATO</w:t>
      </w:r>
      <w:r>
        <w:rPr>
          <w:spacing w:val="-4"/>
          <w:sz w:val="22"/>
          <w:szCs w:val="22"/>
        </w:rPr>
        <w:t xml:space="preserve"> </w:t>
      </w:r>
    </w:p>
    <w:p>
      <w:pPr>
        <w:pStyle w:val="Ttulo1"/>
        <w:tabs>
          <w:tab w:val="clear" w:pos="720"/>
          <w:tab w:val="left" w:pos="7755" w:leader="none"/>
        </w:tabs>
        <w:ind w:left="0" w:right="684" w:hanging="0"/>
        <w:jc w:val="both"/>
        <w:rPr>
          <w:sz w:val="22"/>
          <w:szCs w:val="22"/>
        </w:rPr>
      </w:pPr>
      <w:r>
        <w:rPr>
          <w:sz w:val="22"/>
          <w:szCs w:val="22"/>
        </w:rPr>
      </w:r>
    </w:p>
    <w:p>
      <w:pPr>
        <w:pStyle w:val="Ttulo1"/>
        <w:tabs>
          <w:tab w:val="clear" w:pos="720"/>
          <w:tab w:val="left" w:pos="7755" w:leader="none"/>
        </w:tabs>
        <w:ind w:left="4678" w:right="684" w:hanging="0"/>
        <w:jc w:val="both"/>
        <w:rPr>
          <w:sz w:val="22"/>
          <w:szCs w:val="22"/>
        </w:rPr>
      </w:pPr>
      <w:r>
        <w:rPr>
          <w:sz w:val="22"/>
          <w:szCs w:val="22"/>
        </w:rPr>
        <w:t>CONTRATO DE PRESTAÇÃO DE SERVIÇOS QUE</w:t>
      </w:r>
      <w:r>
        <w:rPr>
          <w:spacing w:val="1"/>
          <w:sz w:val="22"/>
          <w:szCs w:val="22"/>
        </w:rPr>
        <w:t xml:space="preserve"> </w:t>
      </w:r>
      <w:r>
        <w:rPr>
          <w:spacing w:val="-1"/>
          <w:sz w:val="22"/>
          <w:szCs w:val="22"/>
        </w:rPr>
        <w:t>ENTRE</w:t>
      </w:r>
      <w:r>
        <w:rPr>
          <w:spacing w:val="-9"/>
          <w:sz w:val="22"/>
          <w:szCs w:val="22"/>
        </w:rPr>
        <w:t xml:space="preserve"> </w:t>
      </w:r>
      <w:r>
        <w:rPr>
          <w:sz w:val="22"/>
          <w:szCs w:val="22"/>
        </w:rPr>
        <w:t>SI</w:t>
      </w:r>
      <w:r>
        <w:rPr>
          <w:spacing w:val="-9"/>
          <w:sz w:val="22"/>
          <w:szCs w:val="22"/>
        </w:rPr>
        <w:t xml:space="preserve"> </w:t>
      </w:r>
      <w:r>
        <w:rPr>
          <w:sz w:val="22"/>
          <w:szCs w:val="22"/>
        </w:rPr>
        <w:t>CELEBRAM</w:t>
      </w:r>
      <w:r>
        <w:rPr>
          <w:spacing w:val="-11"/>
          <w:sz w:val="22"/>
          <w:szCs w:val="22"/>
        </w:rPr>
        <w:t xml:space="preserve"> </w:t>
      </w:r>
      <w:r>
        <w:rPr>
          <w:sz w:val="22"/>
          <w:szCs w:val="22"/>
        </w:rPr>
        <w:t>O</w:t>
      </w:r>
      <w:r>
        <w:rPr>
          <w:spacing w:val="-8"/>
          <w:sz w:val="22"/>
          <w:szCs w:val="22"/>
        </w:rPr>
        <w:t xml:space="preserve"> </w:t>
      </w:r>
      <w:r>
        <w:rPr>
          <w:sz w:val="22"/>
          <w:szCs w:val="22"/>
        </w:rPr>
        <w:t>MUNICÍPIO</w:t>
      </w:r>
      <w:r>
        <w:rPr>
          <w:spacing w:val="-10"/>
          <w:sz w:val="22"/>
          <w:szCs w:val="22"/>
        </w:rPr>
        <w:t xml:space="preserve"> </w:t>
      </w:r>
      <w:r>
        <w:rPr>
          <w:sz w:val="22"/>
          <w:szCs w:val="22"/>
        </w:rPr>
        <w:t>DE</w:t>
      </w:r>
      <w:r>
        <w:rPr>
          <w:spacing w:val="-14"/>
          <w:sz w:val="22"/>
          <w:szCs w:val="22"/>
        </w:rPr>
        <w:t xml:space="preserve"> </w:t>
      </w:r>
      <w:r>
        <w:rPr>
          <w:sz w:val="22"/>
          <w:szCs w:val="22"/>
        </w:rPr>
        <w:t>ARACRUZ</w:t>
      </w:r>
      <w:r>
        <w:rPr>
          <w:spacing w:val="-53"/>
          <w:sz w:val="22"/>
          <w:szCs w:val="22"/>
        </w:rPr>
        <w:t xml:space="preserve"> </w:t>
      </w:r>
      <w:r>
        <w:rPr>
          <w:sz w:val="22"/>
          <w:szCs w:val="22"/>
        </w:rPr>
        <w:t>E</w:t>
      </w:r>
      <w:r>
        <w:rPr>
          <w:spacing w:val="-11"/>
          <w:sz w:val="22"/>
          <w:szCs w:val="22"/>
        </w:rPr>
        <w:t xml:space="preserve"> </w:t>
      </w:r>
      <w:r>
        <w:rPr>
          <w:sz w:val="22"/>
          <w:szCs w:val="22"/>
        </w:rPr>
        <w:t>A</w:t>
      </w:r>
      <w:r>
        <w:rPr>
          <w:spacing w:val="-10"/>
          <w:sz w:val="22"/>
          <w:szCs w:val="22"/>
        </w:rPr>
        <w:t xml:space="preserve"> </w:t>
      </w:r>
      <w:r>
        <w:rPr>
          <w:sz w:val="22"/>
          <w:szCs w:val="22"/>
        </w:rPr>
        <w:t>EMPRESA</w:t>
      </w:r>
      <w:r>
        <w:rPr>
          <w:w w:val="99"/>
          <w:sz w:val="22"/>
          <w:szCs w:val="22"/>
          <w:u w:val="single"/>
        </w:rPr>
        <w:t xml:space="preserve"> </w:t>
      </w:r>
      <w:r>
        <w:rPr>
          <w:sz w:val="22"/>
          <w:szCs w:val="22"/>
          <w:u w:val="single"/>
        </w:rPr>
        <w:tab/>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rFonts w:ascii="Arial" w:hAnsi="Arial"/>
          <w:b/>
          <w:b/>
          <w:sz w:val="22"/>
          <w:szCs w:val="22"/>
        </w:rPr>
      </w:pPr>
      <w:r>
        <w:rPr>
          <w:rFonts w:ascii="Arial" w:hAnsi="Arial"/>
          <w:b/>
          <w:sz w:val="22"/>
          <w:szCs w:val="22"/>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rFonts w:ascii="Arial" w:hAnsi="Arial"/>
          <w:b/>
          <w:b/>
          <w:sz w:val="22"/>
          <w:szCs w:val="22"/>
        </w:rPr>
      </w:pPr>
      <w:r>
        <w:rPr>
          <w:rFonts w:ascii="Arial" w:hAnsi="Arial"/>
          <w:b/>
          <w:sz w:val="22"/>
          <w:szCs w:val="22"/>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ind w:right="681" w:hanging="0"/>
        <w:jc w:val="both"/>
        <w:rPr>
          <w:rFonts w:ascii="Arial" w:hAnsi="Arial"/>
          <w:b/>
          <w:b/>
          <w:sz w:val="22"/>
          <w:szCs w:val="22"/>
        </w:rPr>
      </w:pPr>
      <w:r>
        <w:rPr>
          <w:rFonts w:ascii="Arial" w:hAnsi="Arial"/>
          <w:b/>
          <w:sz w:val="22"/>
          <w:szCs w:val="22"/>
        </w:rPr>
      </w:r>
    </w:p>
    <w:p>
      <w:pPr>
        <w:pStyle w:val="Corpodotexto"/>
        <w:tabs>
          <w:tab w:val="clear" w:pos="720"/>
          <w:tab w:val="left" w:pos="2206" w:leader="none"/>
          <w:tab w:val="left" w:pos="3205" w:leader="none"/>
          <w:tab w:val="left" w:pos="3460" w:leader="none"/>
          <w:tab w:val="left" w:pos="3673" w:leader="none"/>
          <w:tab w:val="left" w:pos="4311" w:leader="none"/>
          <w:tab w:val="left" w:pos="6387" w:leader="none"/>
          <w:tab w:val="left" w:pos="7515" w:leader="none"/>
          <w:tab w:val="left" w:pos="9374" w:leader="none"/>
        </w:tabs>
        <w:jc w:val="both"/>
        <w:rPr/>
      </w:pPr>
      <w:r>
        <w:rPr>
          <w:rFonts w:ascii="Arial" w:hAnsi="Arial"/>
          <w:b/>
          <w:sz w:val="22"/>
          <w:szCs w:val="22"/>
        </w:rPr>
        <w:t xml:space="preserve">O MUNICÍPIO DE ARACRUZ/ES, </w:t>
      </w:r>
      <w:r>
        <w:rPr>
          <w:rFonts w:ascii="Arial" w:hAnsi="Arial"/>
          <w:sz w:val="22"/>
          <w:szCs w:val="22"/>
        </w:rPr>
        <w:t>pessoa jurídica de direito público, inscrito no CNPJ/MF sob o nº</w:t>
      </w:r>
      <w:r>
        <w:rPr>
          <w:rFonts w:ascii="Arial" w:hAnsi="Arial"/>
          <w:spacing w:val="1"/>
          <w:sz w:val="22"/>
          <w:szCs w:val="22"/>
        </w:rPr>
        <w:t xml:space="preserve"> </w:t>
      </w:r>
      <w:r>
        <w:rPr>
          <w:rFonts w:ascii="Arial" w:hAnsi="Arial"/>
          <w:sz w:val="22"/>
          <w:szCs w:val="22"/>
        </w:rPr>
        <w:t>27.142.702/0001-66, com sede na Avenida Morobá, nº 20, Bairro Morobá, Aracruz - ES, doravante</w:t>
      </w:r>
      <w:r>
        <w:rPr>
          <w:rFonts w:ascii="Arial" w:hAnsi="Arial"/>
          <w:spacing w:val="1"/>
          <w:sz w:val="22"/>
          <w:szCs w:val="22"/>
        </w:rPr>
        <w:t xml:space="preserve"> </w:t>
      </w:r>
      <w:r>
        <w:rPr>
          <w:rFonts w:ascii="Arial" w:hAnsi="Arial"/>
          <w:sz w:val="22"/>
          <w:szCs w:val="22"/>
        </w:rPr>
        <w:t>denominado</w:t>
      </w:r>
      <w:r>
        <w:rPr>
          <w:rFonts w:ascii="Arial" w:hAnsi="Arial"/>
          <w:spacing w:val="1"/>
          <w:sz w:val="22"/>
          <w:szCs w:val="22"/>
        </w:rPr>
        <w:t xml:space="preserve"> </w:t>
      </w:r>
      <w:r>
        <w:rPr>
          <w:rFonts w:ascii="Arial" w:hAnsi="Arial"/>
          <w:b/>
          <w:sz w:val="22"/>
          <w:szCs w:val="22"/>
          <w:u w:val="thick"/>
        </w:rPr>
        <w:t>CONTRATANTE,</w:t>
      </w:r>
      <w:r>
        <w:rPr>
          <w:rFonts w:ascii="Arial" w:hAnsi="Arial"/>
          <w:b/>
          <w:spacing w:val="1"/>
          <w:sz w:val="22"/>
          <w:szCs w:val="22"/>
        </w:rPr>
        <w:t xml:space="preserve"> </w:t>
      </w:r>
      <w:r>
        <w:rPr>
          <w:rFonts w:ascii="Arial" w:hAnsi="Arial"/>
          <w:sz w:val="22"/>
          <w:szCs w:val="22"/>
        </w:rPr>
        <w:t>neste</w:t>
      </w:r>
      <w:r>
        <w:rPr>
          <w:rFonts w:ascii="Arial" w:hAnsi="Arial"/>
          <w:spacing w:val="1"/>
          <w:sz w:val="22"/>
          <w:szCs w:val="22"/>
        </w:rPr>
        <w:t xml:space="preserve"> </w:t>
      </w:r>
      <w:r>
        <w:rPr>
          <w:rFonts w:ascii="Arial" w:hAnsi="Arial"/>
          <w:sz w:val="22"/>
          <w:szCs w:val="22"/>
        </w:rPr>
        <w:t>ato</w:t>
      </w:r>
      <w:r>
        <w:rPr>
          <w:rFonts w:ascii="Arial" w:hAnsi="Arial"/>
          <w:spacing w:val="1"/>
          <w:sz w:val="22"/>
          <w:szCs w:val="22"/>
        </w:rPr>
        <w:t xml:space="preserve"> r</w:t>
      </w:r>
      <w:r>
        <w:rPr>
          <w:rFonts w:ascii="Arial" w:hAnsi="Arial"/>
          <w:sz w:val="22"/>
          <w:szCs w:val="22"/>
        </w:rPr>
        <w:t>epresentado</w:t>
      </w:r>
      <w:r>
        <w:rPr>
          <w:rFonts w:ascii="Arial" w:hAnsi="Arial"/>
          <w:spacing w:val="1"/>
          <w:sz w:val="22"/>
          <w:szCs w:val="22"/>
        </w:rPr>
        <w:t xml:space="preserve"> </w:t>
      </w:r>
      <w:r>
        <w:rPr>
          <w:rFonts w:ascii="Arial" w:hAnsi="Arial"/>
          <w:sz w:val="22"/>
          <w:szCs w:val="22"/>
        </w:rPr>
        <w:t>pela</w:t>
      </w:r>
      <w:r>
        <w:rPr>
          <w:rFonts w:ascii="Arial" w:hAnsi="Arial"/>
          <w:spacing w:val="1"/>
          <w:sz w:val="22"/>
          <w:szCs w:val="22"/>
        </w:rPr>
        <w:t xml:space="preserve"> </w:t>
      </w:r>
      <w:r>
        <w:rPr>
          <w:rFonts w:ascii="Arial" w:hAnsi="Arial"/>
          <w:b/>
          <w:sz w:val="22"/>
          <w:szCs w:val="22"/>
        </w:rPr>
        <w:t>Secretária</w:t>
      </w:r>
      <w:r>
        <w:rPr>
          <w:rFonts w:ascii="Arial" w:hAnsi="Arial"/>
          <w:b/>
          <w:spacing w:val="1"/>
          <w:sz w:val="22"/>
          <w:szCs w:val="22"/>
        </w:rPr>
        <w:t xml:space="preserve"> </w:t>
      </w:r>
      <w:r>
        <w:rPr>
          <w:rFonts w:ascii="Arial" w:hAnsi="Arial"/>
          <w:b/>
          <w:sz w:val="22"/>
          <w:szCs w:val="22"/>
        </w:rPr>
        <w:t>Municipal</w:t>
      </w:r>
      <w:r>
        <w:rPr>
          <w:rFonts w:ascii="Arial" w:hAnsi="Arial"/>
          <w:b/>
          <w:spacing w:val="1"/>
          <w:sz w:val="22"/>
          <w:szCs w:val="22"/>
        </w:rPr>
        <w:t xml:space="preserve"> </w:t>
      </w:r>
      <w:r>
        <w:rPr>
          <w:rFonts w:ascii="Arial" w:hAnsi="Arial"/>
          <w:b/>
          <w:sz w:val="22"/>
          <w:szCs w:val="22"/>
        </w:rPr>
        <w:t>de</w:t>
      </w:r>
      <w:r>
        <w:rPr>
          <w:rFonts w:ascii="Arial" w:hAnsi="Arial"/>
          <w:b/>
          <w:spacing w:val="1"/>
          <w:sz w:val="22"/>
          <w:szCs w:val="22"/>
        </w:rPr>
        <w:t xml:space="preserve"> </w:t>
      </w:r>
      <w:r>
        <w:rPr>
          <w:rFonts w:ascii="Arial" w:hAnsi="Arial"/>
          <w:b/>
          <w:sz w:val="22"/>
          <w:szCs w:val="22"/>
        </w:rPr>
        <w:t>Educação,</w:t>
      </w:r>
      <w:r>
        <w:rPr>
          <w:rFonts w:ascii="Arial" w:hAnsi="Arial"/>
          <w:b/>
          <w:sz w:val="22"/>
          <w:szCs w:val="22"/>
          <w:u w:val="single"/>
        </w:rPr>
        <w:tab/>
        <w:tab/>
      </w:r>
      <w:r>
        <w:rPr>
          <w:rFonts w:ascii="Arial" w:hAnsi="Arial"/>
          <w:sz w:val="22"/>
          <w:szCs w:val="22"/>
        </w:rPr>
        <w:t>(nome,</w:t>
      </w:r>
      <w:r>
        <w:rPr>
          <w:rFonts w:ascii="Arial" w:hAnsi="Arial"/>
          <w:spacing w:val="-6"/>
          <w:sz w:val="22"/>
          <w:szCs w:val="22"/>
        </w:rPr>
        <w:t xml:space="preserve"> </w:t>
      </w:r>
      <w:r>
        <w:rPr>
          <w:rFonts w:ascii="Arial" w:hAnsi="Arial"/>
          <w:sz w:val="22"/>
          <w:szCs w:val="22"/>
        </w:rPr>
        <w:t>nacionalidade,</w:t>
      </w:r>
      <w:r>
        <w:rPr>
          <w:rFonts w:ascii="Arial" w:hAnsi="Arial"/>
          <w:spacing w:val="-6"/>
          <w:sz w:val="22"/>
          <w:szCs w:val="22"/>
        </w:rPr>
        <w:t xml:space="preserve"> </w:t>
      </w:r>
      <w:r>
        <w:rPr>
          <w:rFonts w:ascii="Arial" w:hAnsi="Arial"/>
          <w:sz w:val="22"/>
          <w:szCs w:val="22"/>
        </w:rPr>
        <w:t>estado</w:t>
      </w:r>
      <w:r>
        <w:rPr>
          <w:rFonts w:ascii="Arial" w:hAnsi="Arial"/>
          <w:spacing w:val="-6"/>
          <w:sz w:val="22"/>
          <w:szCs w:val="22"/>
        </w:rPr>
        <w:t xml:space="preserve"> </w:t>
      </w:r>
      <w:r>
        <w:rPr>
          <w:rFonts w:ascii="Arial" w:hAnsi="Arial"/>
          <w:sz w:val="22"/>
          <w:szCs w:val="22"/>
        </w:rPr>
        <w:t>civil,</w:t>
      </w:r>
      <w:r>
        <w:rPr>
          <w:rFonts w:ascii="Arial" w:hAnsi="Arial"/>
          <w:spacing w:val="-5"/>
          <w:sz w:val="22"/>
          <w:szCs w:val="22"/>
        </w:rPr>
        <w:t xml:space="preserve"> </w:t>
      </w:r>
      <w:r>
        <w:rPr>
          <w:rFonts w:ascii="Arial" w:hAnsi="Arial"/>
          <w:sz w:val="22"/>
          <w:szCs w:val="22"/>
        </w:rPr>
        <w:t>profissão),</w:t>
      </w:r>
      <w:r>
        <w:rPr>
          <w:rFonts w:ascii="Arial" w:hAnsi="Arial"/>
          <w:spacing w:val="-5"/>
          <w:sz w:val="22"/>
          <w:szCs w:val="22"/>
        </w:rPr>
        <w:t xml:space="preserve"> </w:t>
      </w:r>
      <w:r>
        <w:rPr>
          <w:rFonts w:ascii="Arial" w:hAnsi="Arial"/>
          <w:sz w:val="22"/>
          <w:szCs w:val="22"/>
        </w:rPr>
        <w:t>inscrita</w:t>
      </w:r>
      <w:r>
        <w:rPr>
          <w:rFonts w:ascii="Arial" w:hAnsi="Arial"/>
          <w:spacing w:val="-6"/>
          <w:sz w:val="22"/>
          <w:szCs w:val="22"/>
        </w:rPr>
        <w:t xml:space="preserve"> </w:t>
      </w:r>
      <w:r>
        <w:rPr>
          <w:rFonts w:ascii="Arial" w:hAnsi="Arial"/>
          <w:sz w:val="22"/>
          <w:szCs w:val="22"/>
        </w:rPr>
        <w:t>no</w:t>
      </w:r>
      <w:r>
        <w:rPr>
          <w:rFonts w:ascii="Arial" w:hAnsi="Arial"/>
          <w:spacing w:val="-3"/>
          <w:sz w:val="22"/>
          <w:szCs w:val="22"/>
        </w:rPr>
        <w:t xml:space="preserve"> </w:t>
      </w:r>
      <w:r>
        <w:rPr>
          <w:rFonts w:ascii="Arial" w:hAnsi="Arial"/>
          <w:sz w:val="22"/>
          <w:szCs w:val="22"/>
        </w:rPr>
        <w:t>CPF/MF</w:t>
      </w:r>
      <w:r>
        <w:rPr>
          <w:rFonts w:ascii="Arial" w:hAnsi="Arial"/>
          <w:spacing w:val="-5"/>
          <w:sz w:val="22"/>
          <w:szCs w:val="22"/>
        </w:rPr>
        <w:t xml:space="preserve"> </w:t>
      </w:r>
      <w:r>
        <w:rPr>
          <w:rFonts w:ascii="Arial" w:hAnsi="Arial"/>
          <w:sz w:val="22"/>
          <w:szCs w:val="22"/>
        </w:rPr>
        <w:t>sob</w:t>
      </w:r>
      <w:r>
        <w:rPr>
          <w:rFonts w:ascii="Arial" w:hAnsi="Arial"/>
          <w:spacing w:val="-53"/>
          <w:sz w:val="22"/>
          <w:szCs w:val="22"/>
        </w:rPr>
        <w:t xml:space="preserve"> </w:t>
      </w:r>
      <w:r>
        <w:rPr>
          <w:rFonts w:ascii="Arial" w:hAnsi="Arial"/>
          <w:sz w:val="22"/>
          <w:szCs w:val="22"/>
        </w:rPr>
        <w:t>o</w:t>
      </w:r>
      <w:r>
        <w:rPr>
          <w:rFonts w:ascii="Arial" w:hAnsi="Arial"/>
          <w:spacing w:val="50"/>
          <w:sz w:val="22"/>
          <w:szCs w:val="22"/>
        </w:rPr>
        <w:t xml:space="preserve"> </w:t>
      </w:r>
      <w:r>
        <w:rPr>
          <w:rFonts w:ascii="Arial" w:hAnsi="Arial"/>
          <w:sz w:val="22"/>
          <w:szCs w:val="22"/>
        </w:rPr>
        <w:t>nº</w:t>
      </w:r>
      <w:r>
        <w:rPr>
          <w:rFonts w:ascii="Arial" w:hAnsi="Arial"/>
          <w:sz w:val="22"/>
          <w:szCs w:val="22"/>
          <w:u w:val="single"/>
        </w:rPr>
        <w:tab/>
      </w:r>
      <w:r>
        <w:rPr>
          <w:rFonts w:ascii="Arial" w:hAnsi="Arial"/>
          <w:sz w:val="22"/>
          <w:szCs w:val="22"/>
        </w:rPr>
        <w:t>,</w:t>
      </w:r>
      <w:r>
        <w:rPr>
          <w:rFonts w:ascii="Arial" w:hAnsi="Arial"/>
          <w:spacing w:val="51"/>
          <w:sz w:val="22"/>
          <w:szCs w:val="22"/>
        </w:rPr>
        <w:t xml:space="preserve"> </w:t>
      </w:r>
      <w:r>
        <w:rPr>
          <w:rFonts w:ascii="Arial" w:hAnsi="Arial"/>
          <w:sz w:val="22"/>
          <w:szCs w:val="22"/>
        </w:rPr>
        <w:t>nos</w:t>
      </w:r>
      <w:r>
        <w:rPr>
          <w:rFonts w:ascii="Arial" w:hAnsi="Arial"/>
          <w:spacing w:val="51"/>
          <w:sz w:val="22"/>
          <w:szCs w:val="22"/>
        </w:rPr>
        <w:t xml:space="preserve"> </w:t>
      </w:r>
      <w:r>
        <w:rPr>
          <w:rFonts w:ascii="Arial" w:hAnsi="Arial"/>
          <w:sz w:val="22"/>
          <w:szCs w:val="22"/>
        </w:rPr>
        <w:t>termos</w:t>
      </w:r>
      <w:r>
        <w:rPr>
          <w:rFonts w:ascii="Arial" w:hAnsi="Arial"/>
          <w:spacing w:val="51"/>
          <w:sz w:val="22"/>
          <w:szCs w:val="22"/>
        </w:rPr>
        <w:t xml:space="preserve"> </w:t>
      </w:r>
      <w:r>
        <w:rPr>
          <w:rFonts w:ascii="Arial" w:hAnsi="Arial"/>
          <w:sz w:val="22"/>
          <w:szCs w:val="22"/>
        </w:rPr>
        <w:t>da</w:t>
      </w:r>
      <w:r>
        <w:rPr>
          <w:rFonts w:ascii="Arial" w:hAnsi="Arial"/>
          <w:spacing w:val="49"/>
          <w:sz w:val="22"/>
          <w:szCs w:val="22"/>
        </w:rPr>
        <w:t xml:space="preserve"> </w:t>
      </w:r>
      <w:r>
        <w:rPr>
          <w:rFonts w:ascii="Arial" w:hAnsi="Arial"/>
          <w:sz w:val="22"/>
          <w:szCs w:val="22"/>
        </w:rPr>
        <w:t>Lei</w:t>
      </w:r>
      <w:r>
        <w:rPr>
          <w:rFonts w:ascii="Arial" w:hAnsi="Arial"/>
          <w:spacing w:val="52"/>
          <w:sz w:val="22"/>
          <w:szCs w:val="22"/>
        </w:rPr>
        <w:t xml:space="preserve"> </w:t>
      </w:r>
      <w:r>
        <w:rPr>
          <w:rFonts w:ascii="Arial" w:hAnsi="Arial"/>
          <w:sz w:val="22"/>
          <w:szCs w:val="22"/>
        </w:rPr>
        <w:t>nº</w:t>
      </w:r>
      <w:r>
        <w:rPr>
          <w:rFonts w:ascii="Arial" w:hAnsi="Arial"/>
          <w:spacing w:val="49"/>
          <w:sz w:val="22"/>
          <w:szCs w:val="22"/>
        </w:rPr>
        <w:t xml:space="preserve"> </w:t>
      </w:r>
      <w:r>
        <w:rPr>
          <w:rFonts w:ascii="Arial" w:hAnsi="Arial"/>
          <w:sz w:val="22"/>
          <w:szCs w:val="22"/>
        </w:rPr>
        <w:t>3.643</w:t>
      </w:r>
      <w:r>
        <w:rPr>
          <w:rFonts w:ascii="Arial" w:hAnsi="Arial"/>
          <w:spacing w:val="52"/>
          <w:sz w:val="22"/>
          <w:szCs w:val="22"/>
        </w:rPr>
        <w:t xml:space="preserve"> </w:t>
      </w:r>
      <w:r>
        <w:rPr>
          <w:rFonts w:ascii="Arial" w:hAnsi="Arial"/>
          <w:sz w:val="22"/>
          <w:szCs w:val="22"/>
        </w:rPr>
        <w:t>de</w:t>
      </w:r>
      <w:r>
        <w:rPr>
          <w:rFonts w:ascii="Arial" w:hAnsi="Arial"/>
          <w:spacing w:val="49"/>
          <w:sz w:val="22"/>
          <w:szCs w:val="22"/>
        </w:rPr>
        <w:t xml:space="preserve"> </w:t>
      </w:r>
      <w:r>
        <w:rPr>
          <w:rFonts w:ascii="Arial" w:hAnsi="Arial"/>
          <w:sz w:val="22"/>
          <w:szCs w:val="22"/>
        </w:rPr>
        <w:t>20/03/2013,</w:t>
      </w:r>
      <w:r>
        <w:rPr>
          <w:rFonts w:ascii="Arial" w:hAnsi="Arial"/>
          <w:spacing w:val="50"/>
          <w:sz w:val="22"/>
          <w:szCs w:val="22"/>
        </w:rPr>
        <w:t xml:space="preserve"> </w:t>
      </w:r>
      <w:r>
        <w:rPr>
          <w:rFonts w:ascii="Arial" w:hAnsi="Arial"/>
          <w:sz w:val="22"/>
          <w:szCs w:val="22"/>
        </w:rPr>
        <w:t>e</w:t>
      </w:r>
      <w:r>
        <w:rPr>
          <w:rFonts w:ascii="Arial" w:hAnsi="Arial"/>
          <w:spacing w:val="52"/>
          <w:sz w:val="22"/>
          <w:szCs w:val="22"/>
        </w:rPr>
        <w:t xml:space="preserve"> </w:t>
      </w:r>
      <w:r>
        <w:rPr>
          <w:rFonts w:ascii="Arial" w:hAnsi="Arial"/>
          <w:sz w:val="22"/>
          <w:szCs w:val="22"/>
        </w:rPr>
        <w:t>a</w:t>
      </w:r>
      <w:r>
        <w:rPr>
          <w:rFonts w:ascii="Arial" w:hAnsi="Arial"/>
          <w:spacing w:val="50"/>
          <w:sz w:val="22"/>
          <w:szCs w:val="22"/>
        </w:rPr>
        <w:t xml:space="preserve"> </w:t>
      </w:r>
      <w:r>
        <w:rPr>
          <w:rFonts w:ascii="Arial" w:hAnsi="Arial"/>
          <w:sz w:val="22"/>
          <w:szCs w:val="22"/>
        </w:rPr>
        <w:t>empresa</w:t>
      </w:r>
      <w:r>
        <w:rPr>
          <w:rFonts w:ascii="Arial" w:hAnsi="Arial"/>
          <w:sz w:val="22"/>
          <w:szCs w:val="22"/>
          <w:u w:val="single"/>
        </w:rPr>
        <w:t xml:space="preserve"> _____</w:t>
      </w:r>
      <w:r>
        <w:rPr>
          <w:rFonts w:ascii="Arial" w:hAnsi="Arial"/>
          <w:sz w:val="22"/>
          <w:szCs w:val="22"/>
        </w:rPr>
        <w:t>doravante</w:t>
      </w:r>
      <w:r>
        <w:rPr>
          <w:rFonts w:ascii="Arial" w:hAnsi="Arial"/>
          <w:spacing w:val="38"/>
          <w:sz w:val="22"/>
          <w:szCs w:val="22"/>
        </w:rPr>
        <w:t xml:space="preserve"> </w:t>
      </w:r>
      <w:r>
        <w:rPr>
          <w:rFonts w:ascii="Arial" w:hAnsi="Arial"/>
          <w:sz w:val="22"/>
          <w:szCs w:val="22"/>
        </w:rPr>
        <w:t>denominada</w:t>
      </w:r>
      <w:r>
        <w:rPr>
          <w:rFonts w:ascii="Arial" w:hAnsi="Arial"/>
          <w:spacing w:val="41"/>
          <w:sz w:val="22"/>
          <w:szCs w:val="22"/>
        </w:rPr>
        <w:t xml:space="preserve"> </w:t>
      </w:r>
      <w:r>
        <w:rPr>
          <w:rFonts w:ascii="Arial" w:hAnsi="Arial"/>
          <w:b/>
          <w:sz w:val="22"/>
          <w:szCs w:val="22"/>
          <w:u w:val="thick"/>
        </w:rPr>
        <w:t>CONTRATADA</w:t>
      </w:r>
      <w:r>
        <w:rPr>
          <w:rFonts w:ascii="Arial" w:hAnsi="Arial"/>
          <w:sz w:val="22"/>
          <w:szCs w:val="22"/>
        </w:rPr>
        <w:t>,</w:t>
      </w:r>
      <w:r>
        <w:rPr>
          <w:rFonts w:ascii="Arial" w:hAnsi="Arial"/>
          <w:spacing w:val="39"/>
          <w:sz w:val="22"/>
          <w:szCs w:val="22"/>
        </w:rPr>
        <w:t xml:space="preserve"> </w:t>
      </w:r>
      <w:r>
        <w:rPr>
          <w:rFonts w:ascii="Arial" w:hAnsi="Arial"/>
          <w:sz w:val="22"/>
          <w:szCs w:val="22"/>
        </w:rPr>
        <w:t>com</w:t>
      </w:r>
      <w:r>
        <w:rPr>
          <w:rFonts w:ascii="Arial" w:hAnsi="Arial"/>
          <w:spacing w:val="38"/>
          <w:sz w:val="22"/>
          <w:szCs w:val="22"/>
        </w:rPr>
        <w:t xml:space="preserve"> </w:t>
      </w:r>
      <w:r>
        <w:rPr>
          <w:rFonts w:ascii="Arial" w:hAnsi="Arial"/>
          <w:sz w:val="22"/>
          <w:szCs w:val="22"/>
        </w:rPr>
        <w:t>sede_____ (endereço</w:t>
      </w:r>
      <w:r>
        <w:rPr>
          <w:rFonts w:ascii="Arial" w:hAnsi="Arial"/>
          <w:spacing w:val="45"/>
          <w:sz w:val="22"/>
          <w:szCs w:val="22"/>
        </w:rPr>
        <w:t xml:space="preserve"> </w:t>
      </w:r>
      <w:r>
        <w:rPr>
          <w:rFonts w:ascii="Arial" w:hAnsi="Arial"/>
          <w:sz w:val="22"/>
          <w:szCs w:val="22"/>
        </w:rPr>
        <w:t>completo),</w:t>
      </w:r>
      <w:r>
        <w:rPr>
          <w:rFonts w:ascii="Arial" w:hAnsi="Arial"/>
          <w:spacing w:val="45"/>
          <w:sz w:val="22"/>
          <w:szCs w:val="22"/>
        </w:rPr>
        <w:t xml:space="preserve"> </w:t>
      </w:r>
      <w:r>
        <w:rPr>
          <w:rFonts w:ascii="Arial" w:hAnsi="Arial"/>
          <w:sz w:val="22"/>
          <w:szCs w:val="22"/>
        </w:rPr>
        <w:t>inscrita</w:t>
      </w:r>
      <w:r>
        <w:rPr>
          <w:rFonts w:ascii="Arial" w:hAnsi="Arial"/>
          <w:spacing w:val="43"/>
          <w:sz w:val="22"/>
          <w:szCs w:val="22"/>
        </w:rPr>
        <w:t xml:space="preserve"> </w:t>
      </w:r>
      <w:r>
        <w:rPr>
          <w:rFonts w:ascii="Arial" w:hAnsi="Arial"/>
          <w:sz w:val="22"/>
          <w:szCs w:val="22"/>
        </w:rPr>
        <w:t>no</w:t>
      </w:r>
      <w:r>
        <w:rPr>
          <w:rFonts w:ascii="Arial" w:hAnsi="Arial"/>
          <w:spacing w:val="-53"/>
          <w:sz w:val="22"/>
          <w:szCs w:val="22"/>
        </w:rPr>
        <w:t xml:space="preserve"> </w:t>
      </w:r>
      <w:r>
        <w:rPr>
          <w:rFonts w:ascii="Arial" w:hAnsi="Arial"/>
          <w:sz w:val="22"/>
          <w:szCs w:val="22"/>
        </w:rPr>
        <w:t>CNPJ/MF</w:t>
      </w:r>
      <w:r>
        <w:rPr>
          <w:rFonts w:ascii="Arial" w:hAnsi="Arial"/>
          <w:spacing w:val="1"/>
          <w:sz w:val="22"/>
          <w:szCs w:val="22"/>
        </w:rPr>
        <w:t xml:space="preserve"> </w:t>
      </w:r>
      <w:r>
        <w:rPr>
          <w:rFonts w:ascii="Arial" w:hAnsi="Arial"/>
          <w:sz w:val="22"/>
          <w:szCs w:val="22"/>
        </w:rPr>
        <w:t>sob o</w:t>
      </w:r>
      <w:r>
        <w:rPr>
          <w:rFonts w:ascii="Arial" w:hAnsi="Arial"/>
          <w:spacing w:val="2"/>
          <w:sz w:val="22"/>
          <w:szCs w:val="22"/>
        </w:rPr>
        <w:t xml:space="preserve"> </w:t>
      </w:r>
      <w:r>
        <w:rPr>
          <w:rFonts w:ascii="Arial" w:hAnsi="Arial"/>
          <w:sz w:val="22"/>
          <w:szCs w:val="22"/>
        </w:rPr>
        <w:t>nº</w:t>
      </w:r>
      <w:r>
        <w:rPr>
          <w:rFonts w:ascii="Arial" w:hAnsi="Arial"/>
          <w:sz w:val="22"/>
          <w:szCs w:val="22"/>
          <w:u w:val="single"/>
        </w:rPr>
        <w:tab/>
        <w:t xml:space="preserve">        </w:t>
      </w:r>
      <w:r>
        <w:rPr>
          <w:rFonts w:ascii="Arial" w:hAnsi="Arial"/>
          <w:sz w:val="22"/>
          <w:szCs w:val="22"/>
        </w:rPr>
        <w:t>neste ato representada pelo</w:t>
      </w:r>
      <w:r>
        <w:rPr>
          <w:rFonts w:ascii="Arial" w:hAnsi="Arial"/>
          <w:sz w:val="22"/>
          <w:szCs w:val="22"/>
          <w:u w:val="single"/>
        </w:rPr>
        <w:t xml:space="preserve"> _____ </w:t>
      </w:r>
      <w:r>
        <w:rPr>
          <w:rFonts w:ascii="Arial" w:hAnsi="Arial"/>
          <w:sz w:val="22"/>
          <w:szCs w:val="22"/>
        </w:rPr>
        <w:t>(condição jurídica</w:t>
      </w:r>
      <w:r>
        <w:rPr>
          <w:rFonts w:ascii="Arial" w:hAnsi="Arial"/>
          <w:spacing w:val="5"/>
          <w:sz w:val="22"/>
          <w:szCs w:val="22"/>
        </w:rPr>
        <w:t xml:space="preserve"> </w:t>
      </w:r>
      <w:r>
        <w:rPr>
          <w:rFonts w:ascii="Arial" w:hAnsi="Arial"/>
          <w:sz w:val="22"/>
          <w:szCs w:val="22"/>
        </w:rPr>
        <w:t>do</w:t>
      </w:r>
      <w:r>
        <w:rPr>
          <w:rFonts w:ascii="Arial" w:hAnsi="Arial"/>
          <w:spacing w:val="-54"/>
          <w:sz w:val="22"/>
          <w:szCs w:val="22"/>
        </w:rPr>
        <w:t xml:space="preserve"> </w:t>
      </w:r>
      <w:r>
        <w:rPr>
          <w:rFonts w:ascii="Arial" w:hAnsi="Arial"/>
          <w:sz w:val="22"/>
          <w:szCs w:val="22"/>
        </w:rPr>
        <w:t>representante)</w:t>
      </w:r>
      <w:r>
        <w:rPr>
          <w:rFonts w:ascii="Arial" w:hAnsi="Arial"/>
          <w:spacing w:val="60"/>
          <w:sz w:val="22"/>
          <w:szCs w:val="22"/>
        </w:rPr>
        <w:t xml:space="preserve"> </w:t>
      </w:r>
      <w:r>
        <w:rPr>
          <w:rFonts w:ascii="Arial" w:hAnsi="Arial"/>
          <w:sz w:val="22"/>
          <w:szCs w:val="22"/>
        </w:rPr>
        <w:t>Sr.(a)______  (nome,</w:t>
      </w:r>
      <w:r>
        <w:rPr>
          <w:rFonts w:ascii="Arial" w:hAnsi="Arial"/>
          <w:spacing w:val="68"/>
          <w:sz w:val="22"/>
          <w:szCs w:val="22"/>
        </w:rPr>
        <w:t xml:space="preserve"> </w:t>
      </w:r>
      <w:r>
        <w:rPr>
          <w:rFonts w:ascii="Arial" w:hAnsi="Arial"/>
          <w:sz w:val="22"/>
          <w:szCs w:val="22"/>
        </w:rPr>
        <w:t>nacionalidade,</w:t>
      </w:r>
      <w:r>
        <w:rPr>
          <w:rFonts w:ascii="Arial" w:hAnsi="Arial"/>
          <w:spacing w:val="65"/>
          <w:sz w:val="22"/>
          <w:szCs w:val="22"/>
        </w:rPr>
        <w:t xml:space="preserve"> </w:t>
      </w:r>
      <w:r>
        <w:rPr>
          <w:rFonts w:ascii="Arial" w:hAnsi="Arial"/>
          <w:sz w:val="22"/>
          <w:szCs w:val="22"/>
        </w:rPr>
        <w:t>estado</w:t>
      </w:r>
      <w:r>
        <w:rPr>
          <w:rFonts w:ascii="Arial" w:hAnsi="Arial"/>
          <w:spacing w:val="68"/>
          <w:sz w:val="22"/>
          <w:szCs w:val="22"/>
        </w:rPr>
        <w:t xml:space="preserve"> </w:t>
      </w:r>
      <w:r>
        <w:rPr>
          <w:rFonts w:ascii="Arial" w:hAnsi="Arial"/>
          <w:sz w:val="22"/>
          <w:szCs w:val="22"/>
        </w:rPr>
        <w:t>civil,</w:t>
      </w:r>
      <w:r>
        <w:rPr>
          <w:rFonts w:ascii="Arial" w:hAnsi="Arial"/>
          <w:spacing w:val="66"/>
          <w:sz w:val="22"/>
          <w:szCs w:val="22"/>
        </w:rPr>
        <w:t xml:space="preserve"> </w:t>
      </w:r>
      <w:r>
        <w:rPr>
          <w:rFonts w:ascii="Arial" w:hAnsi="Arial"/>
          <w:sz w:val="22"/>
          <w:szCs w:val="22"/>
        </w:rPr>
        <w:t>profissão),</w:t>
      </w:r>
      <w:r>
        <w:rPr>
          <w:rFonts w:ascii="Arial" w:hAnsi="Arial"/>
          <w:spacing w:val="-53"/>
          <w:sz w:val="22"/>
          <w:szCs w:val="22"/>
        </w:rPr>
        <w:t xml:space="preserve"> </w:t>
      </w:r>
      <w:r>
        <w:rPr>
          <w:rFonts w:ascii="Arial" w:hAnsi="Arial"/>
          <w:sz w:val="22"/>
          <w:szCs w:val="22"/>
        </w:rPr>
        <w:t>inscrito</w:t>
      </w:r>
      <w:r>
        <w:rPr>
          <w:rFonts w:ascii="Arial" w:hAnsi="Arial"/>
          <w:spacing w:val="18"/>
          <w:sz w:val="22"/>
          <w:szCs w:val="22"/>
        </w:rPr>
        <w:t xml:space="preserve"> </w:t>
      </w:r>
      <w:r>
        <w:rPr>
          <w:rFonts w:ascii="Arial" w:hAnsi="Arial"/>
          <w:sz w:val="22"/>
          <w:szCs w:val="22"/>
        </w:rPr>
        <w:t>no</w:t>
      </w:r>
      <w:r>
        <w:rPr>
          <w:rFonts w:ascii="Arial" w:hAnsi="Arial"/>
          <w:spacing w:val="19"/>
          <w:sz w:val="22"/>
          <w:szCs w:val="22"/>
        </w:rPr>
        <w:t xml:space="preserve"> </w:t>
      </w:r>
      <w:r>
        <w:rPr>
          <w:rFonts w:ascii="Arial" w:hAnsi="Arial"/>
          <w:sz w:val="22"/>
          <w:szCs w:val="22"/>
        </w:rPr>
        <w:t>CPF/MF</w:t>
      </w:r>
      <w:r>
        <w:rPr>
          <w:rFonts w:ascii="Arial" w:hAnsi="Arial"/>
          <w:spacing w:val="20"/>
          <w:sz w:val="22"/>
          <w:szCs w:val="22"/>
        </w:rPr>
        <w:t xml:space="preserve"> </w:t>
      </w:r>
      <w:r>
        <w:rPr>
          <w:rFonts w:ascii="Arial" w:hAnsi="Arial"/>
          <w:sz w:val="22"/>
          <w:szCs w:val="22"/>
        </w:rPr>
        <w:t>sob</w:t>
      </w:r>
      <w:r>
        <w:rPr>
          <w:rFonts w:ascii="Arial" w:hAnsi="Arial"/>
          <w:spacing w:val="21"/>
          <w:sz w:val="22"/>
          <w:szCs w:val="22"/>
        </w:rPr>
        <w:t xml:space="preserve"> </w:t>
      </w:r>
      <w:r>
        <w:rPr>
          <w:rFonts w:ascii="Arial" w:hAnsi="Arial"/>
          <w:sz w:val="22"/>
          <w:szCs w:val="22"/>
        </w:rPr>
        <w:t>o</w:t>
      </w:r>
      <w:r>
        <w:rPr>
          <w:rFonts w:ascii="Arial" w:hAnsi="Arial"/>
          <w:spacing w:val="22"/>
          <w:sz w:val="22"/>
          <w:szCs w:val="22"/>
        </w:rPr>
        <w:t xml:space="preserve"> </w:t>
      </w:r>
      <w:r>
        <w:rPr>
          <w:rFonts w:ascii="Arial" w:hAnsi="Arial"/>
          <w:sz w:val="22"/>
          <w:szCs w:val="22"/>
        </w:rPr>
        <w:t>nº ______</w:t>
      </w:r>
      <w:r>
        <w:rPr>
          <w:rFonts w:cs="Arial" w:ascii="Arial" w:hAnsi="Arial"/>
          <w:sz w:val="22"/>
          <w:szCs w:val="22"/>
        </w:rPr>
        <w:t>nos termos da Lei nº 14.133, de 01 de abril de 2021, Decreto Municipal nº 43.364/2023 e demais regulamentações a nível municipal (através do link: http://transparencia.aracruz.es.gov.br/PrestacaoDeContas.aspx?c=5270), bem como demais legislações aplicáveis à matéria, resolvem celebrar o presente Termo de Contrato, decorrente do CONCORRÊNCIA nº XXX/2025, processo administrativo nº XXX</w:t>
      </w:r>
      <w:r>
        <w:rPr>
          <w:rFonts w:cs="Arial" w:ascii="Arial" w:hAnsi="Arial"/>
          <w:iCs/>
          <w:sz w:val="22"/>
          <w:szCs w:val="22"/>
        </w:rPr>
        <w:t>/2025</w:t>
      </w:r>
      <w:r>
        <w:rPr>
          <w:rFonts w:cs="Arial" w:ascii="Arial" w:hAnsi="Arial"/>
          <w:sz w:val="22"/>
          <w:szCs w:val="22"/>
        </w:rPr>
        <w:t>, mediante as cláusulas e condições a seguir enunciadas:</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pPr>
      <w:r>
        <w:rPr>
          <w:sz w:val="22"/>
          <w:szCs w:val="22"/>
        </w:rPr>
        <w:t>1. CLÁUSULA</w:t>
      </w:r>
      <w:r>
        <w:rPr>
          <w:spacing w:val="-8"/>
          <w:sz w:val="22"/>
          <w:szCs w:val="22"/>
        </w:rPr>
        <w:t xml:space="preserve"> </w:t>
      </w:r>
      <w:r>
        <w:rPr>
          <w:sz w:val="22"/>
          <w:szCs w:val="22"/>
        </w:rPr>
        <w:t>PRIMEIRA</w:t>
      </w:r>
      <w:r>
        <w:rPr>
          <w:spacing w:val="-9"/>
          <w:sz w:val="22"/>
          <w:szCs w:val="22"/>
        </w:rPr>
        <w:t xml:space="preserve"> </w:t>
      </w:r>
      <w:r>
        <w:rPr>
          <w:sz w:val="22"/>
          <w:szCs w:val="22"/>
        </w:rPr>
        <w:t>-</w:t>
      </w:r>
      <w:r>
        <w:rPr>
          <w:spacing w:val="-4"/>
          <w:sz w:val="22"/>
          <w:szCs w:val="22"/>
        </w:rPr>
        <w:t xml:space="preserve"> </w:t>
      </w:r>
      <w:r>
        <w:rPr>
          <w:sz w:val="22"/>
          <w:szCs w:val="22"/>
        </w:rPr>
        <w:t>DO</w:t>
      </w:r>
      <w:r>
        <w:rPr>
          <w:spacing w:val="-3"/>
          <w:sz w:val="22"/>
          <w:szCs w:val="22"/>
        </w:rPr>
        <w:t xml:space="preserve"> </w:t>
      </w:r>
      <w:r>
        <w:rPr>
          <w:sz w:val="22"/>
          <w:szCs w:val="22"/>
        </w:rPr>
        <w:t>OBJETO</w:t>
      </w:r>
    </w:p>
    <w:p>
      <w:pPr>
        <w:pStyle w:val="Normal"/>
        <w:jc w:val="both"/>
        <w:rPr>
          <w:rFonts w:ascii="Arial" w:hAnsi="Arial"/>
        </w:rPr>
      </w:pPr>
      <w:r>
        <w:rPr>
          <w:rFonts w:ascii="Arial" w:hAnsi="Arial"/>
        </w:rPr>
      </w:r>
    </w:p>
    <w:p>
      <w:pPr>
        <w:pStyle w:val="Normal"/>
        <w:jc w:val="both"/>
        <w:rPr/>
      </w:pPr>
      <w:r>
        <w:rPr>
          <w:rFonts w:cs="Arial" w:ascii="Arial" w:hAnsi="Arial"/>
          <w:color w:val="000009"/>
          <w:spacing w:val="1"/>
        </w:rPr>
        <w:t>1.1. O objeto do presente certame consiste na CONTRATAÇÃO DE EMPRESA PARA EXECUÇÃO DA OBRA DE IMPLANTAÇÃO DE INFRAESTRUTURA NO BAIRRO PÔR DO SOL, NO MUNICÍPIO DE ARACRUZ – ES, conforme especificações técnicas, unidades e quantidades, descritas na Planilha Orçamentária e Projetos anexos ao presente Edital de Concorrência.</w:t>
      </w:r>
    </w:p>
    <w:p>
      <w:pPr>
        <w:pStyle w:val="Normal"/>
        <w:jc w:val="both"/>
        <w:rPr>
          <w:rFonts w:ascii="Arial" w:hAnsi="Arial" w:cs="Arial"/>
          <w:color w:val="000009"/>
          <w:spacing w:val="1"/>
        </w:rPr>
      </w:pPr>
      <w:r>
        <w:rPr>
          <w:rFonts w:cs="Arial" w:ascii="Arial" w:hAnsi="Arial"/>
          <w:color w:val="000009"/>
          <w:spacing w:val="1"/>
        </w:rPr>
      </w:r>
    </w:p>
    <w:p>
      <w:pPr>
        <w:pStyle w:val="Normal"/>
        <w:jc w:val="both"/>
        <w:rPr/>
      </w:pPr>
      <w:r>
        <w:rPr>
          <w:rFonts w:cs="Arial" w:ascii="Arial" w:hAnsi="Arial"/>
          <w:color w:val="000009"/>
          <w:spacing w:val="1"/>
        </w:rPr>
        <w:t xml:space="preserve">1.2. A Contratada se obrigará a executar as obras, empregando exclusivamente materiais de primeira qualidade e obedecendo, rigorosamente, aos Levantamento Topográfico, Projeto Geométrico, Terraplanagem, Drenagem, Pavimentação, Sinalização, Obras Complementares e Iluminação Pública, bem como às Normas e Especificações Técnicas Vigentes (tais quais normas da ABNT – Associação Brasileira de Normas Técnicas, DNIT – Departamento Nacional de Infraestrutura de Transportes e orientações técnicas do IBRAOP – Instituto Brasileiro de Auditoria de Obras Públicas). </w:t>
      </w:r>
    </w:p>
    <w:p>
      <w:pPr>
        <w:pStyle w:val="Normal"/>
        <w:jc w:val="both"/>
        <w:rPr>
          <w:rFonts w:ascii="Arial" w:hAnsi="Arial" w:cs="Arial"/>
          <w:color w:val="000009"/>
          <w:spacing w:val="1"/>
        </w:rPr>
      </w:pPr>
      <w:r>
        <w:rPr>
          <w:rFonts w:cs="Arial" w:ascii="Arial" w:hAnsi="Arial"/>
          <w:color w:val="000009"/>
          <w:spacing w:val="1"/>
        </w:rPr>
      </w:r>
    </w:p>
    <w:p>
      <w:pPr>
        <w:pStyle w:val="Normal"/>
        <w:jc w:val="both"/>
        <w:rPr/>
      </w:pPr>
      <w:r>
        <w:rPr>
          <w:rFonts w:cs="Arial" w:ascii="Arial" w:hAnsi="Arial"/>
          <w:color w:val="000009"/>
          <w:spacing w:val="1"/>
        </w:rPr>
        <w:t>1.3. Poderá o Município de Aracruz, por meio da Secretaria de Obras, a seu critério, exigir a demolição e reconstrução de qualquer parte dos serviços, caso estes tenham sido executados com imperícia técnica ou em desacordo com o Projeto, Norma e Especificações próprias.</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pPr>
      <w:r>
        <w:rPr>
          <w:sz w:val="22"/>
          <w:szCs w:val="22"/>
        </w:rPr>
        <w:t>2. CLÁUSULA</w:t>
      </w:r>
      <w:r>
        <w:rPr>
          <w:spacing w:val="-11"/>
          <w:sz w:val="22"/>
          <w:szCs w:val="22"/>
        </w:rPr>
        <w:t xml:space="preserve"> </w:t>
      </w:r>
      <w:r>
        <w:rPr>
          <w:sz w:val="22"/>
          <w:szCs w:val="22"/>
        </w:rPr>
        <w:t>SEGUNDA:</w:t>
      </w:r>
      <w:r>
        <w:rPr>
          <w:spacing w:val="-7"/>
          <w:sz w:val="22"/>
          <w:szCs w:val="22"/>
        </w:rPr>
        <w:t xml:space="preserve"> </w:t>
      </w:r>
      <w:r>
        <w:rPr>
          <w:sz w:val="22"/>
          <w:szCs w:val="22"/>
        </w:rPr>
        <w:t>DA</w:t>
      </w:r>
      <w:r>
        <w:rPr>
          <w:spacing w:val="-12"/>
          <w:sz w:val="22"/>
          <w:szCs w:val="22"/>
        </w:rPr>
        <w:t xml:space="preserve"> </w:t>
      </w:r>
      <w:r>
        <w:rPr>
          <w:sz w:val="22"/>
          <w:szCs w:val="22"/>
        </w:rPr>
        <w:t>FUNDAMENTAÇÃO</w:t>
      </w:r>
      <w:r>
        <w:rPr>
          <w:spacing w:val="-6"/>
          <w:sz w:val="22"/>
          <w:szCs w:val="22"/>
        </w:rPr>
        <w:t xml:space="preserve"> </w:t>
      </w:r>
      <w:r>
        <w:rPr>
          <w:sz w:val="22"/>
          <w:szCs w:val="22"/>
        </w:rPr>
        <w:t>LEGAL</w:t>
      </w:r>
      <w:r>
        <w:rPr>
          <w:spacing w:val="-11"/>
          <w:sz w:val="22"/>
          <w:szCs w:val="22"/>
        </w:rPr>
        <w:t xml:space="preserve"> E </w:t>
      </w:r>
      <w:r>
        <w:rPr>
          <w:iCs/>
          <w:spacing w:val="-11"/>
          <w:sz w:val="22"/>
          <w:szCs w:val="22"/>
        </w:rPr>
        <w:t>DOS DOCUMENTOS INTEGRANTES</w:t>
      </w:r>
    </w:p>
    <w:p>
      <w:pPr>
        <w:pStyle w:val="Ttulo1"/>
        <w:ind w:left="0" w:hanging="0"/>
        <w:jc w:val="both"/>
        <w:rPr>
          <w:iCs/>
          <w:spacing w:val="-11"/>
          <w:sz w:val="22"/>
          <w:szCs w:val="22"/>
        </w:rPr>
      </w:pPr>
      <w:r>
        <w:rPr>
          <w:iCs/>
          <w:spacing w:val="-11"/>
          <w:sz w:val="22"/>
          <w:szCs w:val="22"/>
        </w:rPr>
      </w:r>
    </w:p>
    <w:p>
      <w:pPr>
        <w:pStyle w:val="ListParagraph"/>
        <w:tabs>
          <w:tab w:val="clear" w:pos="720"/>
          <w:tab w:val="left" w:pos="529" w:leader="none"/>
        </w:tabs>
        <w:ind w:left="0" w:hanging="0"/>
        <w:rPr/>
      </w:pPr>
      <w:r>
        <w:rPr>
          <w:rFonts w:ascii="Arial" w:hAnsi="Arial"/>
        </w:rPr>
        <w:t>2.1. O</w:t>
      </w:r>
      <w:r>
        <w:rPr>
          <w:rFonts w:ascii="Arial" w:hAnsi="Arial"/>
          <w:spacing w:val="-2"/>
        </w:rPr>
        <w:t xml:space="preserve"> </w:t>
      </w:r>
      <w:r>
        <w:rPr>
          <w:rFonts w:ascii="Arial" w:hAnsi="Arial"/>
        </w:rPr>
        <w:t>presente Contrato fundamenta-se</w:t>
      </w:r>
      <w:r>
        <w:rPr>
          <w:rFonts w:ascii="Arial" w:hAnsi="Arial"/>
          <w:spacing w:val="-2"/>
        </w:rPr>
        <w:t xml:space="preserve"> </w:t>
      </w:r>
      <w:r>
        <w:rPr>
          <w:rFonts w:ascii="Arial" w:hAnsi="Arial"/>
        </w:rPr>
        <w:t>na Lei</w:t>
      </w:r>
      <w:r>
        <w:rPr>
          <w:rFonts w:ascii="Arial" w:hAnsi="Arial"/>
          <w:spacing w:val="-3"/>
        </w:rPr>
        <w:t xml:space="preserve"> </w:t>
      </w:r>
      <w:r>
        <w:rPr>
          <w:rFonts w:ascii="Arial" w:hAnsi="Arial"/>
        </w:rPr>
        <w:t>Federal</w:t>
      </w:r>
      <w:r>
        <w:rPr>
          <w:rFonts w:ascii="Arial" w:hAnsi="Arial"/>
          <w:spacing w:val="-4"/>
        </w:rPr>
        <w:t xml:space="preserve"> </w:t>
      </w:r>
      <w:r>
        <w:rPr>
          <w:rFonts w:ascii="Arial" w:hAnsi="Arial"/>
        </w:rPr>
        <w:t>nº.</w:t>
      </w:r>
      <w:r>
        <w:rPr>
          <w:rFonts w:ascii="Arial" w:hAnsi="Arial"/>
          <w:spacing w:val="-2"/>
        </w:rPr>
        <w:t xml:space="preserve"> 14.133/2021 </w:t>
      </w:r>
      <w:r>
        <w:rPr>
          <w:rFonts w:ascii="Arial" w:hAnsi="Arial"/>
        </w:rPr>
        <w:t>e alterações</w:t>
      </w:r>
      <w:r>
        <w:rPr>
          <w:rFonts w:ascii="Arial" w:hAnsi="Arial"/>
          <w:spacing w:val="2"/>
        </w:rPr>
        <w:t xml:space="preserve"> </w:t>
      </w:r>
      <w:r>
        <w:rPr>
          <w:rFonts w:ascii="Arial" w:hAnsi="Arial"/>
        </w:rPr>
        <w:t xml:space="preserve">posteriores e </w:t>
      </w:r>
      <w:r>
        <w:rPr>
          <w:rFonts w:cs="Arial" w:ascii="Arial" w:hAnsi="Arial"/>
          <w:iCs/>
        </w:rPr>
        <w:t>Decreto Municipal nº 43.364/2023.</w:t>
      </w:r>
    </w:p>
    <w:p>
      <w:pPr>
        <w:pStyle w:val="ListParagraph"/>
        <w:tabs>
          <w:tab w:val="clear" w:pos="720"/>
          <w:tab w:val="left" w:pos="529" w:leader="none"/>
        </w:tabs>
        <w:ind w:left="0" w:hanging="0"/>
        <w:rPr>
          <w:rFonts w:ascii="Arial" w:hAnsi="Arial"/>
        </w:rPr>
      </w:pPr>
      <w:r>
        <w:rPr>
          <w:rFonts w:ascii="Arial" w:hAnsi="Arial"/>
        </w:rPr>
      </w:r>
    </w:p>
    <w:p>
      <w:pPr>
        <w:pStyle w:val="ListParagraph"/>
        <w:tabs>
          <w:tab w:val="clear" w:pos="720"/>
          <w:tab w:val="left" w:pos="529" w:leader="none"/>
        </w:tabs>
        <w:ind w:left="0" w:hanging="0"/>
        <w:rPr/>
      </w:pPr>
      <w:r>
        <w:rPr>
          <w:rFonts w:ascii="Arial" w:hAnsi="Arial"/>
        </w:rPr>
        <w:t>2.2. Os</w:t>
      </w:r>
      <w:r>
        <w:rPr>
          <w:rFonts w:ascii="Arial" w:hAnsi="Arial"/>
          <w:spacing w:val="-2"/>
        </w:rPr>
        <w:t xml:space="preserve"> </w:t>
      </w:r>
      <w:r>
        <w:rPr>
          <w:rFonts w:ascii="Arial" w:hAnsi="Arial"/>
        </w:rPr>
        <w:t>casos</w:t>
      </w:r>
      <w:r>
        <w:rPr>
          <w:rFonts w:ascii="Arial" w:hAnsi="Arial"/>
          <w:spacing w:val="-2"/>
        </w:rPr>
        <w:t xml:space="preserve"> </w:t>
      </w:r>
      <w:r>
        <w:rPr>
          <w:rFonts w:ascii="Arial" w:hAnsi="Arial"/>
        </w:rPr>
        <w:t>omissos</w:t>
      </w:r>
      <w:r>
        <w:rPr>
          <w:rFonts w:ascii="Arial" w:hAnsi="Arial"/>
          <w:spacing w:val="-2"/>
        </w:rPr>
        <w:t xml:space="preserve"> </w:t>
      </w:r>
      <w:r>
        <w:rPr>
          <w:rFonts w:ascii="Arial" w:hAnsi="Arial"/>
        </w:rPr>
        <w:t>neste</w:t>
      </w:r>
      <w:r>
        <w:rPr>
          <w:rFonts w:ascii="Arial" w:hAnsi="Arial"/>
          <w:spacing w:val="-3"/>
        </w:rPr>
        <w:t xml:space="preserve"> </w:t>
      </w:r>
      <w:r>
        <w:rPr>
          <w:rFonts w:ascii="Arial" w:hAnsi="Arial"/>
        </w:rPr>
        <w:t>Contrato</w:t>
      </w:r>
      <w:r>
        <w:rPr>
          <w:rFonts w:ascii="Arial" w:hAnsi="Arial"/>
          <w:spacing w:val="-3"/>
        </w:rPr>
        <w:t xml:space="preserve"> </w:t>
      </w:r>
      <w:r>
        <w:rPr>
          <w:rFonts w:ascii="Arial" w:hAnsi="Arial"/>
        </w:rPr>
        <w:t>serão</w:t>
      </w:r>
      <w:r>
        <w:rPr>
          <w:rFonts w:ascii="Arial" w:hAnsi="Arial"/>
          <w:spacing w:val="-3"/>
        </w:rPr>
        <w:t xml:space="preserve"> </w:t>
      </w:r>
      <w:r>
        <w:rPr>
          <w:rFonts w:ascii="Arial" w:hAnsi="Arial"/>
        </w:rPr>
        <w:t>resolvidos</w:t>
      </w:r>
      <w:r>
        <w:rPr>
          <w:rFonts w:ascii="Arial" w:hAnsi="Arial"/>
          <w:spacing w:val="1"/>
        </w:rPr>
        <w:t xml:space="preserve"> </w:t>
      </w:r>
      <w:r>
        <w:rPr>
          <w:rFonts w:ascii="Arial" w:hAnsi="Arial"/>
        </w:rPr>
        <w:t>pela</w:t>
      </w:r>
      <w:r>
        <w:rPr>
          <w:rFonts w:ascii="Arial" w:hAnsi="Arial"/>
          <w:spacing w:val="-3"/>
        </w:rPr>
        <w:t xml:space="preserve"> </w:t>
      </w:r>
      <w:r>
        <w:rPr>
          <w:rFonts w:ascii="Arial" w:hAnsi="Arial"/>
        </w:rPr>
        <w:t>legislação</w:t>
      </w:r>
      <w:r>
        <w:rPr>
          <w:rFonts w:ascii="Arial" w:hAnsi="Arial"/>
          <w:spacing w:val="-3"/>
        </w:rPr>
        <w:t xml:space="preserve"> </w:t>
      </w:r>
      <w:r>
        <w:rPr>
          <w:rFonts w:ascii="Arial" w:hAnsi="Arial"/>
        </w:rPr>
        <w:t>aplicável</w:t>
      </w:r>
      <w:r>
        <w:rPr>
          <w:rFonts w:ascii="Arial" w:hAnsi="Arial"/>
          <w:spacing w:val="-4"/>
        </w:rPr>
        <w:t xml:space="preserve"> </w:t>
      </w:r>
      <w:r>
        <w:rPr>
          <w:rFonts w:ascii="Arial" w:hAnsi="Arial"/>
        </w:rPr>
        <w:t>à</w:t>
      </w:r>
      <w:r>
        <w:rPr>
          <w:rFonts w:ascii="Arial" w:hAnsi="Arial"/>
          <w:spacing w:val="1"/>
        </w:rPr>
        <w:t xml:space="preserve"> </w:t>
      </w:r>
      <w:r>
        <w:rPr>
          <w:rFonts w:ascii="Arial" w:hAnsi="Arial"/>
        </w:rPr>
        <w:t>espécie.</w:t>
      </w:r>
    </w:p>
    <w:p>
      <w:pPr>
        <w:pStyle w:val="ListParagraph"/>
        <w:tabs>
          <w:tab w:val="clear" w:pos="720"/>
          <w:tab w:val="left" w:pos="538" w:leader="none"/>
        </w:tabs>
        <w:ind w:left="0" w:hanging="0"/>
        <w:rPr>
          <w:rFonts w:ascii="Arial" w:hAnsi="Arial"/>
        </w:rPr>
      </w:pPr>
      <w:r>
        <w:rPr>
          <w:rFonts w:ascii="Arial" w:hAnsi="Arial"/>
        </w:rPr>
      </w:r>
    </w:p>
    <w:p>
      <w:pPr>
        <w:pStyle w:val="ListParagraph"/>
        <w:tabs>
          <w:tab w:val="clear" w:pos="720"/>
          <w:tab w:val="left" w:pos="538" w:leader="none"/>
        </w:tabs>
        <w:ind w:left="0" w:hanging="0"/>
        <w:rPr/>
      </w:pPr>
      <w:r>
        <w:rPr>
          <w:rFonts w:ascii="Arial" w:hAnsi="Arial"/>
        </w:rPr>
        <w:t>2.3. Fazem parte integrante deste Contrato o Projeto Básico, o Edital de Concorrência Eletrônica nº XXX/2025 e seus anexos e a proposta vencedora, completando-o para todos os fins de direito, independente de sua transcrição, obrigando-se as partes em todos os seus termos.</w:t>
      </w:r>
    </w:p>
    <w:p>
      <w:pPr>
        <w:pStyle w:val="ListParagraph"/>
        <w:tabs>
          <w:tab w:val="clear" w:pos="720"/>
          <w:tab w:val="left" w:pos="538" w:leader="none"/>
        </w:tabs>
        <w:ind w:left="0" w:hanging="0"/>
        <w:rPr>
          <w:rFonts w:ascii="Arial" w:hAnsi="Arial" w:cs="Arial"/>
          <w:b/>
          <w:b/>
          <w:bCs/>
          <w:iCs/>
        </w:rPr>
      </w:pPr>
      <w:r>
        <w:rPr>
          <w:rFonts w:cs="Arial" w:ascii="Arial" w:hAnsi="Arial"/>
          <w:b/>
          <w:bCs/>
          <w:iCs/>
        </w:rPr>
      </w:r>
    </w:p>
    <w:p>
      <w:pPr>
        <w:pStyle w:val="ListParagraph"/>
        <w:tabs>
          <w:tab w:val="clear" w:pos="720"/>
          <w:tab w:val="left" w:pos="538" w:leader="none"/>
        </w:tabs>
        <w:ind w:left="0" w:hanging="0"/>
        <w:rPr>
          <w:rFonts w:ascii="Arial" w:hAnsi="Arial" w:cs="Arial"/>
          <w:b/>
          <w:b/>
          <w:bCs/>
          <w:iCs/>
        </w:rPr>
      </w:pPr>
      <w:r>
        <w:rPr>
          <w:rFonts w:cs="Arial" w:ascii="Arial" w:hAnsi="Arial"/>
          <w:b/>
          <w:bCs/>
          <w:iCs/>
        </w:rPr>
      </w:r>
    </w:p>
    <w:p>
      <w:pPr>
        <w:pStyle w:val="ListParagraph"/>
        <w:tabs>
          <w:tab w:val="clear" w:pos="720"/>
          <w:tab w:val="left" w:pos="538" w:leader="none"/>
        </w:tabs>
        <w:ind w:left="0" w:hanging="0"/>
        <w:rPr/>
      </w:pPr>
      <w:r>
        <w:rPr>
          <w:rFonts w:cs="Arial" w:ascii="Arial" w:hAnsi="Arial"/>
          <w:b/>
          <w:bCs/>
          <w:iCs/>
        </w:rPr>
        <w:t xml:space="preserve">3. CLÁUSULA TERCEIRA - DO REGIME DE EXECUÇÃO </w:t>
      </w:r>
    </w:p>
    <w:p>
      <w:pPr>
        <w:pStyle w:val="ListParagraph"/>
        <w:tabs>
          <w:tab w:val="clear" w:pos="720"/>
          <w:tab w:val="left" w:pos="538" w:leader="none"/>
        </w:tabs>
        <w:ind w:left="0" w:hanging="0"/>
        <w:rPr>
          <w:rFonts w:ascii="Arial" w:hAnsi="Arial"/>
        </w:rPr>
      </w:pPr>
      <w:r>
        <w:rPr>
          <w:rFonts w:ascii="Arial" w:hAnsi="Arial"/>
        </w:rPr>
      </w:r>
    </w:p>
    <w:p>
      <w:pPr>
        <w:pStyle w:val="Normal"/>
        <w:tabs>
          <w:tab w:val="clear" w:pos="720"/>
          <w:tab w:val="left" w:pos="538" w:leader="none"/>
        </w:tabs>
        <w:jc w:val="both"/>
        <w:rPr/>
      </w:pPr>
      <w:r>
        <w:rPr>
          <w:rFonts w:eastAsia="Times New Roman" w:cs="Arial" w:ascii="Arial" w:hAnsi="Arial"/>
          <w:lang w:eastAsia="pt-BR"/>
        </w:rPr>
        <w:t>3.1. Fica estabelecida a forma de execução indireta, sob regime de empreitada por preço unitário.</w:t>
      </w:r>
    </w:p>
    <w:p>
      <w:pPr>
        <w:pStyle w:val="ListParagraph"/>
        <w:ind w:left="0" w:hanging="0"/>
        <w:rPr/>
      </w:pPr>
      <w:r>
        <w:rPr/>
      </w:r>
    </w:p>
    <w:p>
      <w:pPr>
        <w:pStyle w:val="ListParagraph"/>
        <w:ind w:left="0" w:hanging="0"/>
        <w:rPr/>
      </w:pPr>
      <w:r>
        <w:rPr/>
      </w:r>
    </w:p>
    <w:p>
      <w:pPr>
        <w:pStyle w:val="ListParagraph"/>
        <w:ind w:left="0" w:hanging="0"/>
        <w:rPr/>
      </w:pPr>
      <w:r>
        <w:rPr>
          <w:rFonts w:cs="Arial" w:ascii="Arial" w:hAnsi="Arial"/>
          <w:b/>
        </w:rPr>
        <w:t>4. CLÁUSULA QUARTA – DO VALOR GLOBAL, DO REAJUSTAMENTO E DA REVISÃO</w:t>
      </w:r>
    </w:p>
    <w:p>
      <w:pPr>
        <w:pStyle w:val="Normal"/>
        <w:jc w:val="both"/>
        <w:rPr>
          <w:rFonts w:ascii="Arial" w:hAnsi="Arial" w:cs="Arial"/>
          <w:bCs/>
          <w:iCs/>
        </w:rPr>
      </w:pPr>
      <w:r>
        <w:rPr>
          <w:rFonts w:cs="Arial" w:ascii="Arial" w:hAnsi="Arial"/>
          <w:bCs/>
          <w:iCs/>
        </w:rPr>
      </w:r>
    </w:p>
    <w:p>
      <w:pPr>
        <w:pStyle w:val="Normal"/>
        <w:jc w:val="both"/>
        <w:rPr/>
      </w:pPr>
      <w:r>
        <w:rPr>
          <w:rFonts w:cs="Arial" w:ascii="Arial" w:hAnsi="Arial"/>
          <w:b/>
          <w:bCs/>
          <w:iCs/>
        </w:rPr>
        <w:t>4.1. DO VALOR GLOBAL</w:t>
        <w:tab/>
      </w:r>
    </w:p>
    <w:p>
      <w:pPr>
        <w:pStyle w:val="Normal"/>
        <w:jc w:val="both"/>
        <w:rPr>
          <w:rFonts w:ascii="Arial" w:hAnsi="Arial" w:cs="Arial"/>
          <w:bCs/>
          <w:iCs/>
        </w:rPr>
      </w:pPr>
      <w:r>
        <w:rPr>
          <w:rFonts w:cs="Arial" w:ascii="Arial" w:hAnsi="Arial"/>
          <w:bCs/>
          <w:iCs/>
        </w:rPr>
      </w:r>
    </w:p>
    <w:p>
      <w:pPr>
        <w:pStyle w:val="Normal"/>
        <w:jc w:val="both"/>
        <w:rPr/>
      </w:pPr>
      <w:r>
        <w:rPr>
          <w:rFonts w:cs="Arial" w:ascii="Arial" w:hAnsi="Arial"/>
          <w:bCs/>
          <w:iCs/>
        </w:rPr>
        <w:t xml:space="preserve">4.1.1. </w:t>
        <w:tab/>
        <w:t>O valor total estimado para a contratação é de R$ .................(.................................................).</w:t>
      </w:r>
    </w:p>
    <w:p>
      <w:pPr>
        <w:pStyle w:val="Normal"/>
        <w:jc w:val="both"/>
        <w:rPr>
          <w:rFonts w:ascii="Arial" w:hAnsi="Arial" w:cs="Arial"/>
          <w:bCs/>
          <w:iCs/>
        </w:rPr>
      </w:pPr>
      <w:r>
        <w:rPr>
          <w:rFonts w:cs="Arial" w:ascii="Arial" w:hAnsi="Arial"/>
          <w:bCs/>
          <w:iCs/>
        </w:rPr>
      </w:r>
    </w:p>
    <w:p>
      <w:pPr>
        <w:pStyle w:val="Normal"/>
        <w:jc w:val="both"/>
        <w:rPr/>
      </w:pPr>
      <w:r>
        <w:rPr>
          <w:rFonts w:cs="Arial" w:ascii="Arial" w:hAnsi="Arial"/>
          <w:bCs/>
          <w:iCs/>
        </w:rPr>
        <w:t>4.1.2. 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pPr>
        <w:pStyle w:val="Normal"/>
        <w:jc w:val="both"/>
        <w:rPr>
          <w:rFonts w:ascii="Arial" w:hAnsi="Arial" w:cs="Arial"/>
          <w:bCs/>
          <w:iCs/>
        </w:rPr>
      </w:pPr>
      <w:r>
        <w:rPr>
          <w:rFonts w:cs="Arial" w:ascii="Arial" w:hAnsi="Arial"/>
          <w:bCs/>
          <w:iCs/>
        </w:rPr>
      </w:r>
    </w:p>
    <w:p>
      <w:pPr>
        <w:pStyle w:val="Normal"/>
        <w:jc w:val="both"/>
        <w:rPr/>
      </w:pPr>
      <w:r>
        <w:rPr>
          <w:rFonts w:cs="Arial" w:ascii="Arial" w:hAnsi="Arial"/>
          <w:bCs/>
          <w:iCs/>
          <w:spacing w:val="-1"/>
        </w:rPr>
        <w:t>4.1.3. A CONTRATANTE pagará pelos serviços contratados e efetivamente executados, na forma constante da planilha orçamentária apresentada pela CONTRATADA e que, independentemente de transcrição, passa a fazer parte integrante do presente Contrato.</w:t>
      </w:r>
    </w:p>
    <w:p>
      <w:pPr>
        <w:pStyle w:val="Corpodotexto"/>
        <w:jc w:val="both"/>
        <w:rPr>
          <w:rFonts w:ascii="Arial" w:hAnsi="Arial"/>
          <w:spacing w:val="-1"/>
          <w:sz w:val="22"/>
          <w:szCs w:val="22"/>
        </w:rPr>
      </w:pPr>
      <w:r>
        <w:rPr>
          <w:rFonts w:ascii="Arial" w:hAnsi="Arial"/>
          <w:spacing w:val="-1"/>
          <w:sz w:val="22"/>
          <w:szCs w:val="22"/>
        </w:rPr>
      </w:r>
    </w:p>
    <w:p>
      <w:pPr>
        <w:pStyle w:val="ListParagraph"/>
        <w:tabs>
          <w:tab w:val="clear" w:pos="720"/>
          <w:tab w:val="left" w:pos="584" w:leader="none"/>
        </w:tabs>
        <w:ind w:left="0" w:hanging="0"/>
        <w:rPr/>
      </w:pPr>
      <w:r>
        <w:rPr>
          <w:rFonts w:ascii="Arial" w:hAnsi="Arial"/>
          <w:b/>
          <w:bCs/>
          <w:spacing w:val="-1"/>
        </w:rPr>
        <w:t>4.2. DO REAJUSTAMENTO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4.2.1. Os preços propostos pela contratada poderão ser reajustados, após o transcurso de prazo de 01 (um) ano da data do orçamento estimado, de acordo com as Leis Federais n.º 14.133/2021 e 10.192/2001, através do Índice de Reajustamento de Obras Rodoviárias - DNIT - Fundação Getúlio Vargas, desde que comprovado o seu desequilíbrio econômico-financeiro, com base nos preços referenciais, por meio da fórmula seguinte:</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sz w:val="22"/>
          <w:szCs w:val="22"/>
        </w:rPr>
      </w:pPr>
      <w:r>
        <w:rPr>
          <w:sz w:val="22"/>
          <w:szCs w:val="22"/>
        </w:rPr>
        <w:drawing>
          <wp:anchor behindDoc="0" distT="0" distB="0" distL="0" distR="0" simplePos="0" locked="0" layoutInCell="0" allowOverlap="1" relativeHeight="1865">
            <wp:simplePos x="0" y="0"/>
            <wp:positionH relativeFrom="column">
              <wp:posOffset>2467610</wp:posOffset>
            </wp:positionH>
            <wp:positionV relativeFrom="paragraph">
              <wp:posOffset>635</wp:posOffset>
            </wp:positionV>
            <wp:extent cx="1066800" cy="552450"/>
            <wp:effectExtent l="0" t="0" r="0" b="0"/>
            <wp:wrapSquare wrapText="largest"/>
            <wp:docPr id="2" name="Figura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2" descr=""/>
                    <pic:cNvPicPr>
                      <a:picLocks noChangeAspect="1" noChangeArrowheads="1"/>
                    </pic:cNvPicPr>
                  </pic:nvPicPr>
                  <pic:blipFill>
                    <a:blip r:embed="rId24"/>
                    <a:stretch>
                      <a:fillRect/>
                    </a:stretch>
                  </pic:blipFill>
                  <pic:spPr bwMode="auto">
                    <a:xfrm>
                      <a:off x="0" y="0"/>
                      <a:ext cx="1066800" cy="552450"/>
                    </a:xfrm>
                    <a:prstGeom prst="rect">
                      <a:avLst/>
                    </a:prstGeom>
                  </pic:spPr>
                </pic:pic>
              </a:graphicData>
            </a:graphic>
          </wp:anchor>
        </w:drawing>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Onde:</w:t>
      </w:r>
    </w:p>
    <w:p>
      <w:pPr>
        <w:pStyle w:val="Ttulo1"/>
        <w:tabs>
          <w:tab w:val="clear" w:pos="720"/>
          <w:tab w:val="left" w:pos="474" w:leader="none"/>
        </w:tabs>
        <w:ind w:left="0" w:hanging="0"/>
        <w:jc w:val="both"/>
        <w:rPr/>
      </w:pPr>
      <w:r>
        <w:rPr>
          <w:rFonts w:eastAsia="Arial MT" w:cs="Arial MT"/>
          <w:b w:val="false"/>
          <w:bCs w:val="false"/>
          <w:sz w:val="22"/>
          <w:szCs w:val="22"/>
        </w:rPr>
        <w:t>R = Valor do Reajustamento Procurado;</w:t>
      </w:r>
    </w:p>
    <w:p>
      <w:pPr>
        <w:pStyle w:val="Ttulo1"/>
        <w:tabs>
          <w:tab w:val="clear" w:pos="720"/>
          <w:tab w:val="left" w:pos="474" w:leader="none"/>
        </w:tabs>
        <w:ind w:left="0" w:hanging="0"/>
        <w:jc w:val="both"/>
        <w:rPr/>
      </w:pPr>
      <w:r>
        <w:rPr>
          <w:rFonts w:eastAsia="Arial MT" w:cs="Arial MT"/>
          <w:b w:val="false"/>
          <w:bCs w:val="false"/>
          <w:sz w:val="22"/>
          <w:szCs w:val="22"/>
        </w:rPr>
        <w:t>V = Valor da Obra ou Serviços Medidos a ser Reajustados;</w:t>
      </w:r>
    </w:p>
    <w:p>
      <w:pPr>
        <w:pStyle w:val="Ttulo1"/>
        <w:tabs>
          <w:tab w:val="clear" w:pos="720"/>
          <w:tab w:val="left" w:pos="474" w:leader="none"/>
        </w:tabs>
        <w:ind w:left="0" w:hanging="0"/>
        <w:jc w:val="both"/>
        <w:rPr/>
      </w:pPr>
      <w:r>
        <w:rPr>
          <w:rFonts w:eastAsia="Arial MT" w:cs="Arial MT"/>
          <w:b w:val="false"/>
          <w:bCs w:val="false"/>
          <w:sz w:val="22"/>
          <w:szCs w:val="22"/>
        </w:rPr>
        <w:t>Io = através do Índice de Reajustamento de Obras Rodoviárias - DNIT - Fundação Getúlio Vargas, relativo ao mês anterior a data do orçamento estimado</w:t>
      </w:r>
    </w:p>
    <w:p>
      <w:pPr>
        <w:pStyle w:val="Ttulo1"/>
        <w:tabs>
          <w:tab w:val="clear" w:pos="720"/>
          <w:tab w:val="left" w:pos="474" w:leader="none"/>
        </w:tabs>
        <w:ind w:left="0" w:hanging="0"/>
        <w:jc w:val="both"/>
        <w:rPr/>
      </w:pPr>
      <w:r>
        <w:rPr>
          <w:rFonts w:eastAsia="Arial MT" w:cs="Arial MT"/>
          <w:b w:val="false"/>
          <w:bCs w:val="false"/>
          <w:sz w:val="22"/>
          <w:szCs w:val="22"/>
        </w:rPr>
        <w:t>I = Idem ao Io, porém relativo ao mês em que completar periodicidade anual em relação ao mês anterior a data do orçamento estimado.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4.2.2. Competem à Contratada a iniciativa de requerer o reajuste e o encargo do cálculo minucioso de cada reajuste a ser aprovado pela Contratante, juntando-se a respectiva discriminação dos serviços o memorial de cálculo do reajuste, e demais documentos comprobatórios do reajuste pleiteado.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4.2.3. Os reajustamentos de preços propostos estarão ainda sujeitos, a Leis Complementares, Medidas Provisórias e Decretos que venham regulamentar novos procedimentos em função das medidas econômicas de interesse do País.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4.2.4. O reajuste será efetuado por meio de simples apostilamento.</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4.2.5. Caso o(s) índice(s) estabelecido(s) para reajustamento venha(m) a ser extinto(s) ou de qualquer forma não possa(m) mais ser utilizado(s), será(ão) adotado(s), em substituição, o(s) que vier(em) a ser determinado(s) pela legislação então em vigor. Na ausência de previsão legal quanto ao índice substituto, será adotado o novo índice definido para a Administração Estadual na contratação de serviços semelhantes.</w:t>
      </w:r>
    </w:p>
    <w:p>
      <w:pPr>
        <w:pStyle w:val="Ttulo1"/>
        <w:tabs>
          <w:tab w:val="clear" w:pos="720"/>
          <w:tab w:val="left" w:pos="474" w:leader="none"/>
        </w:tabs>
        <w:ind w:left="0" w:hanging="0"/>
        <w:jc w:val="both"/>
        <w:rPr>
          <w:sz w:val="22"/>
          <w:szCs w:val="22"/>
        </w:rPr>
      </w:pPr>
      <w:r>
        <w:rPr>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4.2.6. Os atrasos na execução do objeto segundo os prazos estabelecidos no contrato não poderão ensejar o reajuste de preços, caso sejam atribuíveis à CONTRATADA, conforme apurado em procedimento próprio, assegurada ampla defesa e contraditório, podendo, ainda, nesta hipótese, resultar na aplicação das penalidades previstas no contrato.</w:t>
      </w:r>
    </w:p>
    <w:p>
      <w:pPr>
        <w:pStyle w:val="ListParagraph"/>
        <w:tabs>
          <w:tab w:val="clear" w:pos="720"/>
          <w:tab w:val="left" w:pos="584" w:leader="none"/>
        </w:tabs>
        <w:ind w:left="0" w:hanging="0"/>
        <w:rPr>
          <w:rFonts w:ascii="Arial" w:hAnsi="Arial"/>
          <w:color w:val="000009"/>
        </w:rPr>
      </w:pPr>
      <w:r>
        <w:rPr>
          <w:rFonts w:ascii="Arial" w:hAnsi="Arial"/>
          <w:color w:val="000009"/>
        </w:rPr>
      </w:r>
    </w:p>
    <w:p>
      <w:pPr>
        <w:pStyle w:val="Normal"/>
        <w:jc w:val="both"/>
        <w:rPr/>
      </w:pPr>
      <w:r>
        <w:rPr>
          <w:rFonts w:cs="Arial" w:ascii="Arial" w:hAnsi="Arial"/>
          <w:b/>
        </w:rPr>
        <w:t>4.3. DA REVISÃO ECONÔMICO-FINANCEIRA</w:t>
      </w:r>
    </w:p>
    <w:p>
      <w:pPr>
        <w:pStyle w:val="Normal"/>
        <w:jc w:val="both"/>
        <w:rPr>
          <w:rFonts w:ascii="Arial" w:hAnsi="Arial" w:cs="Arial"/>
        </w:rPr>
      </w:pPr>
      <w:r>
        <w:rPr>
          <w:rFonts w:cs="Arial" w:ascii="Arial" w:hAnsi="Arial"/>
        </w:rPr>
      </w:r>
    </w:p>
    <w:p>
      <w:pPr>
        <w:pStyle w:val="Normal"/>
        <w:jc w:val="both"/>
        <w:rPr/>
      </w:pPr>
      <w:r>
        <w:rPr>
          <w:rFonts w:cs="Arial" w:ascii="Arial" w:hAnsi="Arial"/>
        </w:rPr>
        <w:t>4.3.1. Sempre que atendidas as condições do Contrato, assinado e publicado, considera-se mantido seu equilíbrio econômico-financeiro. Em caso de revisão, a alteração do preço ajustado, além de obedecer aos requisitos referidos no art. 124, II, “d”, da Lei nº 14.133/2021, deverá ocorrer de forma proporcional à modificação dos encargos, comprovada minuciosamente por meio de memória de cálculo a ser apresentada pela parte interessada. A revisão será objeto de análise acurada e criteriosa, lastreada em elementos técnicos e econômicos, por intermédio de processo administrativo específico para apurar o caso concreto.</w:t>
      </w:r>
    </w:p>
    <w:p>
      <w:pPr>
        <w:pStyle w:val="Normal"/>
        <w:jc w:val="both"/>
        <w:rPr>
          <w:rFonts w:ascii="Arial" w:hAnsi="Arial" w:cs="Arial"/>
        </w:rPr>
      </w:pPr>
      <w:r>
        <w:rPr>
          <w:rFonts w:cs="Arial" w:ascii="Arial" w:hAnsi="Arial"/>
        </w:rPr>
      </w:r>
    </w:p>
    <w:p>
      <w:pPr>
        <w:pStyle w:val="Normal"/>
        <w:jc w:val="both"/>
        <w:rPr/>
      </w:pPr>
      <w:r>
        <w:rPr>
          <w:rFonts w:cs="Arial" w:ascii="Arial" w:hAnsi="Arial"/>
        </w:rPr>
        <w:t>4.3.2. O pedido de restabelecimento do equilíbrio econômico-financeiro deverá ser formulado durante a vigência do contrato e antes de eventual prorrogação.</w:t>
      </w:r>
    </w:p>
    <w:p>
      <w:pPr>
        <w:pStyle w:val="Normal"/>
        <w:jc w:val="both"/>
        <w:rPr>
          <w:rFonts w:ascii="Arial" w:hAnsi="Arial" w:cs="Arial"/>
        </w:rPr>
      </w:pPr>
      <w:r>
        <w:rPr>
          <w:rFonts w:cs="Arial" w:ascii="Arial" w:hAnsi="Arial"/>
        </w:rPr>
      </w:r>
    </w:p>
    <w:p>
      <w:pPr>
        <w:pStyle w:val="Normal"/>
        <w:jc w:val="both"/>
        <w:rPr/>
      </w:pPr>
      <w:r>
        <w:rPr>
          <w:rFonts w:cs="Arial" w:ascii="Arial" w:hAnsi="Arial"/>
        </w:rPr>
        <w:t>4.3.3. A análise para restabelecer o equilíbrio econômico-financeiro inicial do contrato será baseada em caso de força maior, caso fortuito ou fato do príncipe ou em decorrência de fatos imprevisíveis ou previsíveis de consequências incalculáveis, que inviabilizem a execução do contrato tal como pactuado, respeitada, em qualquer caso, a repactuação objetiva de risco estabelecida no contrato.</w:t>
      </w:r>
    </w:p>
    <w:p>
      <w:pPr>
        <w:pStyle w:val="Normal"/>
        <w:jc w:val="both"/>
        <w:rPr>
          <w:rFonts w:ascii="Arial" w:hAnsi="Arial" w:cs="Arial"/>
        </w:rPr>
      </w:pPr>
      <w:r>
        <w:rPr>
          <w:rFonts w:cs="Arial" w:ascii="Arial" w:hAnsi="Arial"/>
        </w:rPr>
      </w:r>
    </w:p>
    <w:p>
      <w:pPr>
        <w:pStyle w:val="Normal"/>
        <w:jc w:val="both"/>
        <w:rPr/>
      </w:pPr>
      <w:r>
        <w:rPr>
          <w:rFonts w:cs="Arial" w:ascii="Arial" w:hAnsi="Arial"/>
        </w:rPr>
        <w:t>4.3.4. Dentre os fatos ensejadores da revisão, não se incluem aqueles eventos dotados de previsibilidade, cujo caráter possibilite à parte interessada a sua aferição ao tempo da formulação/aceitação da proposta, bem como aqueles decorrentes exclusivamente da variação inflacionária, uma vez que inseridos, estes últimos, na hipótese de reajustamento.</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4.3.5. Não será concedida a revisão quando: </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a) ausente a elevação de encargos alegada pela parte interessada; </w:t>
      </w:r>
    </w:p>
    <w:p>
      <w:pPr>
        <w:pStyle w:val="Normal"/>
        <w:jc w:val="both"/>
        <w:rPr>
          <w:rFonts w:ascii="Arial" w:hAnsi="Arial" w:cs="Arial"/>
        </w:rPr>
      </w:pPr>
      <w:r>
        <w:rPr>
          <w:rFonts w:cs="Arial" w:ascii="Arial" w:hAnsi="Arial"/>
        </w:rPr>
      </w:r>
    </w:p>
    <w:p>
      <w:pPr>
        <w:pStyle w:val="Normal"/>
        <w:jc w:val="both"/>
        <w:rPr/>
      </w:pPr>
      <w:r>
        <w:rPr>
          <w:rFonts w:cs="Arial" w:ascii="Arial" w:hAnsi="Arial"/>
        </w:rPr>
        <w:t>b) o evento imputado como causa de desequilíbrio houver ocorrido antes da formulação da proposta definitiva ou após a finalização do prazo de execução do contrato;</w:t>
      </w:r>
    </w:p>
    <w:p>
      <w:pPr>
        <w:pStyle w:val="Normal"/>
        <w:jc w:val="both"/>
        <w:rPr>
          <w:rFonts w:ascii="Arial" w:hAnsi="Arial" w:cs="Arial"/>
        </w:rPr>
      </w:pPr>
      <w:r>
        <w:rPr>
          <w:rFonts w:cs="Arial" w:ascii="Arial" w:hAnsi="Arial"/>
        </w:rPr>
      </w:r>
    </w:p>
    <w:p>
      <w:pPr>
        <w:pStyle w:val="Normal"/>
        <w:jc w:val="both"/>
        <w:rPr/>
      </w:pPr>
      <w:r>
        <w:rPr>
          <w:rFonts w:cs="Arial" w:ascii="Arial" w:hAnsi="Arial"/>
        </w:rPr>
        <w:t>c) ausente o nexo de causalidade entre o evento ocorrido e a majoração dos encargos atribuídos à parte interessada;</w:t>
      </w:r>
    </w:p>
    <w:p>
      <w:pPr>
        <w:pStyle w:val="Normal"/>
        <w:jc w:val="both"/>
        <w:rPr>
          <w:rFonts w:ascii="Arial" w:hAnsi="Arial" w:cs="Arial"/>
        </w:rPr>
      </w:pPr>
      <w:r>
        <w:rPr>
          <w:rFonts w:cs="Arial" w:ascii="Arial" w:hAnsi="Arial"/>
        </w:rPr>
      </w:r>
    </w:p>
    <w:p>
      <w:pPr>
        <w:pStyle w:val="Normal"/>
        <w:jc w:val="both"/>
        <w:rPr/>
      </w:pPr>
      <w:r>
        <w:rPr>
          <w:rFonts w:cs="Arial" w:ascii="Arial" w:hAnsi="Arial"/>
        </w:rPr>
        <w:t>d) a parte interessada houver incorrido em culpa pela majoração de seus próprios encargos, incluindo-se, nesse âmbito, a previsibilidade da ocorrência do evento;</w:t>
      </w:r>
    </w:p>
    <w:p>
      <w:pPr>
        <w:pStyle w:val="Normal"/>
        <w:jc w:val="both"/>
        <w:rPr>
          <w:rFonts w:ascii="Arial" w:hAnsi="Arial" w:cs="Arial"/>
        </w:rPr>
      </w:pPr>
      <w:r>
        <w:rPr>
          <w:rFonts w:cs="Arial" w:ascii="Arial" w:hAnsi="Arial"/>
        </w:rPr>
      </w:r>
    </w:p>
    <w:p>
      <w:pPr>
        <w:pStyle w:val="Normal"/>
        <w:jc w:val="both"/>
        <w:rPr/>
      </w:pPr>
      <w:r>
        <w:rPr>
          <w:rFonts w:cs="Arial" w:ascii="Arial" w:hAnsi="Arial"/>
        </w:rPr>
        <w:t>e) houver alteração do regime jurídico-tributário da Contratada, ressalvada a hipótese de superveniente determinação legal;</w:t>
      </w:r>
    </w:p>
    <w:p>
      <w:pPr>
        <w:pStyle w:val="Normal"/>
        <w:jc w:val="both"/>
        <w:rPr>
          <w:rFonts w:ascii="Arial" w:hAnsi="Arial" w:cs="Arial"/>
        </w:rPr>
      </w:pPr>
      <w:r>
        <w:rPr>
          <w:rFonts w:cs="Arial" w:ascii="Arial" w:hAnsi="Arial"/>
        </w:rPr>
      </w:r>
    </w:p>
    <w:p>
      <w:pPr>
        <w:pStyle w:val="Normal"/>
        <w:jc w:val="both"/>
        <w:rPr/>
      </w:pPr>
      <w:r>
        <w:rPr>
          <w:rFonts w:cs="Arial" w:ascii="Arial" w:hAnsi="Arial"/>
        </w:rPr>
        <w:t>f) divergência entre a composição de custos unitários da proposta da CONTRATADA com os serviços definidos na Planilha, no Projeto e normas técnicas vigentes.</w:t>
      </w:r>
    </w:p>
    <w:p>
      <w:pPr>
        <w:pStyle w:val="Normal"/>
        <w:jc w:val="both"/>
        <w:rPr>
          <w:rFonts w:ascii="Arial" w:hAnsi="Arial" w:cs="Arial"/>
        </w:rPr>
      </w:pPr>
      <w:r>
        <w:rPr>
          <w:rFonts w:cs="Arial" w:ascii="Arial" w:hAnsi="Arial"/>
        </w:rPr>
      </w:r>
    </w:p>
    <w:p>
      <w:pPr>
        <w:pStyle w:val="Normal"/>
        <w:jc w:val="both"/>
        <w:rPr/>
      </w:pPr>
      <w:r>
        <w:rPr>
          <w:rFonts w:cs="Arial" w:ascii="Arial" w:hAnsi="Arial"/>
        </w:rPr>
        <w:t>4.3.6. A revisão será formalizada por meio de Termo Aditivo, precedida de análise da Procuradoria Geral</w:t>
      </w:r>
      <w:r>
        <w:rPr>
          <w:rFonts w:cs="Arial" w:ascii="Arial" w:hAnsi="Arial"/>
          <w:bCs/>
          <w:iCs/>
        </w:rPr>
        <w:t>.</w:t>
      </w:r>
    </w:p>
    <w:p>
      <w:pPr>
        <w:pStyle w:val="Normal"/>
        <w:jc w:val="both"/>
        <w:rPr>
          <w:rFonts w:ascii="Arial" w:hAnsi="Arial" w:cs="Arial"/>
          <w:b/>
          <w:b/>
          <w:bCs/>
          <w:iCs/>
        </w:rPr>
      </w:pPr>
      <w:r>
        <w:rPr>
          <w:rFonts w:cs="Arial" w:ascii="Arial" w:hAnsi="Arial"/>
          <w:b/>
          <w:bCs/>
          <w:iCs/>
        </w:rPr>
      </w:r>
    </w:p>
    <w:p>
      <w:pPr>
        <w:pStyle w:val="Normal"/>
        <w:jc w:val="both"/>
        <w:rPr/>
      </w:pPr>
      <w:r>
        <w:rPr>
          <w:rFonts w:cs="Arial" w:ascii="Arial" w:hAnsi="Arial"/>
          <w:bCs/>
          <w:iCs/>
        </w:rPr>
        <w:t>4.3.7. O prazo para fins de primeira análise e resposta ao pedido de restabelecimento do equilíbrio econômico-financeiro será de 60 (sessenta) dias úteis.</w:t>
      </w:r>
    </w:p>
    <w:p>
      <w:pPr>
        <w:pStyle w:val="Ttulo1"/>
        <w:ind w:left="0" w:hanging="0"/>
        <w:jc w:val="both"/>
        <w:rPr>
          <w:sz w:val="22"/>
          <w:szCs w:val="22"/>
        </w:rPr>
      </w:pPr>
      <w:r>
        <w:rPr>
          <w:sz w:val="22"/>
          <w:szCs w:val="22"/>
        </w:rPr>
      </w:r>
    </w:p>
    <w:p>
      <w:pPr>
        <w:pStyle w:val="Ttulo1"/>
        <w:ind w:left="0" w:hanging="0"/>
        <w:jc w:val="both"/>
        <w:rPr>
          <w:spacing w:val="-1"/>
          <w:sz w:val="22"/>
          <w:szCs w:val="22"/>
        </w:rPr>
      </w:pPr>
      <w:r>
        <w:rPr>
          <w:spacing w:val="-1"/>
          <w:sz w:val="22"/>
          <w:szCs w:val="22"/>
        </w:rPr>
      </w:r>
    </w:p>
    <w:p>
      <w:pPr>
        <w:pStyle w:val="Ttulo1"/>
        <w:ind w:left="0" w:hanging="0"/>
        <w:jc w:val="both"/>
        <w:rPr/>
      </w:pPr>
      <w:r>
        <w:rPr>
          <w:spacing w:val="-1"/>
          <w:sz w:val="22"/>
          <w:szCs w:val="22"/>
        </w:rPr>
        <w:t>5. CLÁUSULA</w:t>
      </w:r>
      <w:r>
        <w:rPr>
          <w:spacing w:val="-13"/>
          <w:sz w:val="22"/>
          <w:szCs w:val="22"/>
        </w:rPr>
        <w:t xml:space="preserve"> </w:t>
      </w:r>
      <w:r>
        <w:rPr>
          <w:sz w:val="22"/>
          <w:szCs w:val="22"/>
        </w:rPr>
        <w:t>QUINTA</w:t>
      </w:r>
      <w:r>
        <w:rPr>
          <w:spacing w:val="-12"/>
          <w:sz w:val="22"/>
          <w:szCs w:val="22"/>
        </w:rPr>
        <w:t xml:space="preserve"> </w:t>
      </w:r>
      <w:r>
        <w:rPr>
          <w:sz w:val="22"/>
          <w:szCs w:val="22"/>
        </w:rPr>
        <w:t>–</w:t>
      </w:r>
      <w:r>
        <w:rPr>
          <w:spacing w:val="-6"/>
          <w:sz w:val="22"/>
          <w:szCs w:val="22"/>
        </w:rPr>
        <w:t xml:space="preserve"> </w:t>
      </w:r>
      <w:r>
        <w:rPr>
          <w:sz w:val="22"/>
          <w:szCs w:val="22"/>
        </w:rPr>
        <w:t>DA</w:t>
      </w:r>
      <w:r>
        <w:rPr>
          <w:spacing w:val="-13"/>
          <w:sz w:val="22"/>
          <w:szCs w:val="22"/>
        </w:rPr>
        <w:t xml:space="preserve"> </w:t>
      </w:r>
      <w:r>
        <w:rPr>
          <w:sz w:val="22"/>
          <w:szCs w:val="22"/>
        </w:rPr>
        <w:t>DOTAÇÃO</w:t>
      </w:r>
      <w:r>
        <w:rPr>
          <w:spacing w:val="-5"/>
          <w:sz w:val="22"/>
          <w:szCs w:val="22"/>
        </w:rPr>
        <w:t xml:space="preserve"> </w:t>
      </w:r>
      <w:r>
        <w:rPr>
          <w:sz w:val="22"/>
          <w:szCs w:val="22"/>
        </w:rPr>
        <w:t>ORÇAMENTÁRIA</w:t>
      </w:r>
    </w:p>
    <w:p>
      <w:pPr>
        <w:pStyle w:val="ListParagraph"/>
        <w:tabs>
          <w:tab w:val="clear" w:pos="720"/>
          <w:tab w:val="left" w:pos="546" w:leader="none"/>
        </w:tabs>
        <w:ind w:left="0" w:hanging="0"/>
        <w:rPr>
          <w:rFonts w:ascii="Arial" w:hAnsi="Arial"/>
        </w:rPr>
      </w:pPr>
      <w:r>
        <w:rPr>
          <w:rFonts w:ascii="Arial" w:hAnsi="Arial"/>
        </w:rPr>
      </w:r>
    </w:p>
    <w:p>
      <w:pPr>
        <w:pStyle w:val="ListParagraph"/>
        <w:tabs>
          <w:tab w:val="clear" w:pos="720"/>
          <w:tab w:val="left" w:pos="546" w:leader="none"/>
        </w:tabs>
        <w:ind w:left="0" w:hanging="0"/>
        <w:rPr/>
      </w:pPr>
      <w:r>
        <w:rPr>
          <w:rFonts w:ascii="Arial" w:hAnsi="Arial"/>
        </w:rPr>
        <w:t xml:space="preserve">5.1. </w:t>
      </w:r>
      <w:r>
        <w:rPr>
          <w:rFonts w:eastAsia="Arial" w:cs="Arial" w:ascii="Arial" w:hAnsi="Arial"/>
          <w:spacing w:val="-1"/>
        </w:rPr>
        <w:t xml:space="preserve">As despesas decorrentes da presente contratação correrão por conta da dotação orçamentária da Secretaria Municipal de Obras. </w:t>
      </w:r>
    </w:p>
    <w:p>
      <w:pPr>
        <w:pStyle w:val="Corpodotexto"/>
        <w:jc w:val="both"/>
        <w:rPr>
          <w:rFonts w:ascii="Arial" w:hAnsi="Arial"/>
          <w:b/>
          <w:b/>
          <w:sz w:val="22"/>
          <w:szCs w:val="22"/>
        </w:rPr>
      </w:pPr>
      <w:r>
        <w:rPr>
          <w:rFonts w:ascii="Arial" w:hAnsi="Arial"/>
          <w:b/>
          <w:sz w:val="22"/>
          <w:szCs w:val="22"/>
        </w:rPr>
      </w:r>
    </w:p>
    <w:p>
      <w:pPr>
        <w:pStyle w:val="Corpodotexto"/>
        <w:jc w:val="both"/>
        <w:rPr>
          <w:rFonts w:ascii="Arial" w:hAnsi="Arial"/>
          <w:b/>
          <w:b/>
          <w:sz w:val="22"/>
          <w:szCs w:val="22"/>
        </w:rPr>
      </w:pPr>
      <w:r>
        <w:rPr>
          <w:rFonts w:ascii="Arial" w:hAnsi="Arial"/>
          <w:b/>
          <w:sz w:val="22"/>
          <w:szCs w:val="22"/>
        </w:rPr>
      </w:r>
    </w:p>
    <w:p>
      <w:pPr>
        <w:pStyle w:val="Corpodotexto"/>
        <w:jc w:val="both"/>
        <w:rPr/>
      </w:pPr>
      <w:r>
        <w:rPr>
          <w:rFonts w:ascii="Arial" w:hAnsi="Arial"/>
          <w:b/>
          <w:sz w:val="22"/>
          <w:szCs w:val="22"/>
        </w:rPr>
        <w:t xml:space="preserve">6. CLÁUSULA SEXTA – </w:t>
      </w:r>
      <w:r>
        <w:rPr>
          <w:rFonts w:ascii="Arial" w:hAnsi="Arial"/>
          <w:b/>
          <w:bCs/>
          <w:sz w:val="22"/>
          <w:szCs w:val="22"/>
        </w:rPr>
        <w:t xml:space="preserve">DA MEDIÇÃO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6.1. Para fins de medição, os serviços somente serão considerados concluídos para serem inseridos nas planilhas mensais, após a contratada protocolizar formalmente o pleito da medição e o Fiscal do contrato da Prefeitura Municipal de Aracruz, checar e atestar a efetiva execução dos serviços pleiteados.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6.2. Os serviços medidos serão feitos de forma mensal, compatível com o cronograma físico-financeiro.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6.3. O responsável técnico da empresa contratada deverá acompanhar o fiscal do contrato ao checar as quantidades de serviços pleiteados na medição por parte da contratada e dirimir quaisquer dúvidas que, por ventura, surgirem entre as partes.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6.4. O processo de medição será instruído com as seguintes documentações: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a) Requerimento formal de medição, devidamente assinado, contendo informações como número da medição, período da medição e número do contrato. Referido documento deverá ser efetuado em papel timbrado da empresa, devidamente datado e assinado pelo seu representante legal;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b) A planilha de medição (contendo a quantificação de todos os serviços executados, período, data e valor da medição), devidamente assinada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c) Memória de cálculo (descrevendo em detalhes os cálculos efetuados), devidamente assinada pelo responsável técnico;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d) Cronograma físico-financeiro atualizado;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e) Relatório fotográfico colorido dos itens medidos (no mínimo 1 foto por item medido) devidamente assinado pelo responsável técnico, devendo ainda conter a identificação do local de prestação do serviço;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f) Diário de obra relatando os serviços executados e identificação das localidades de prestação dos serviços devidamente assinado pelo responsável técnico;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6.5. A CONTRATADA deverá apresentar mensalmente, para fins de liquidação da despesa, as documentações que comprove cumprimento da legislação em vigente quanto às obrigações assumidas na contratação, como encargos sociais, trabalhistas, previdenciários, securitários, tributários e comerciais: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a) CND municipal (tanto da sede da empresa quanto a do município de Aracruz), CND estadual, CND federal, CND trabalhista e Certificado de Regularidade do FGTS; </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b) Guias de recolhimento: GPS/INSS, FGTS, PIS e COFINS, CSLL e IR com competência referente ao mês/meses das OBRAS e/ou dos SERVIÇOS DE ENGENHARIA medidos; </w:t>
      </w:r>
    </w:p>
    <w:p>
      <w:pPr>
        <w:pStyle w:val="Corpodotexto"/>
        <w:jc w:val="both"/>
        <w:rPr/>
      </w:pPr>
      <w:r>
        <w:rPr/>
      </w:r>
    </w:p>
    <w:p>
      <w:pPr>
        <w:pStyle w:val="Corpodotexto"/>
        <w:jc w:val="both"/>
        <w:rPr/>
      </w:pPr>
      <w:r>
        <w:rPr>
          <w:rFonts w:ascii="Arial" w:hAnsi="Arial"/>
          <w:bCs/>
          <w:sz w:val="22"/>
          <w:szCs w:val="22"/>
        </w:rPr>
        <w:t>c) GFIP completa da Obra;</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d) Matrícula CNO;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e) Folhas de pagamentos analíticas com competência referente ao mês/meses da OBRA e/ou dos SERVIÇOS DE ENGENHARIA medidos, uma com relação dos efetivos e outra com dos substitutos;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 xml:space="preserve">f) Relação dos trabalhadores efetivos da obra em questão; </w:t>
      </w:r>
    </w:p>
    <w:p>
      <w:pPr>
        <w:pStyle w:val="Corpodotexto"/>
        <w:jc w:val="both"/>
        <w:rPr>
          <w:bCs/>
        </w:rPr>
      </w:pPr>
      <w:r>
        <w:rPr>
          <w:bCs/>
        </w:rPr>
      </w:r>
    </w:p>
    <w:p>
      <w:pPr>
        <w:pStyle w:val="Corpodotexto"/>
        <w:jc w:val="both"/>
        <w:rPr/>
      </w:pPr>
      <w:r>
        <w:rPr>
          <w:rFonts w:ascii="Arial" w:hAnsi="Arial"/>
          <w:bCs/>
          <w:sz w:val="22"/>
          <w:szCs w:val="22"/>
        </w:rPr>
        <w:t>6.6. O fiscal responsável deverá realizar a medição “in loco” dos serviços finalizados e entregues.</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bCs/>
          <w:sz w:val="22"/>
          <w:szCs w:val="22"/>
        </w:rPr>
        <w:t>6.7. A aprovação da medição prévia apresentada pela Contratada não a exime de qualquer das responsabilidades contratuais, nem implica aceitação definitiva dos serviços executados.</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bCs/>
          <w:sz w:val="22"/>
          <w:szCs w:val="22"/>
        </w:rPr>
        <w:t>6.8. Será permitida apenas 01 (uma) medição por mês.</w:t>
      </w:r>
      <w:bookmarkStart w:id="18" w:name="_Hlk1993180601"/>
      <w:bookmarkEnd w:id="18"/>
    </w:p>
    <w:p>
      <w:pPr>
        <w:pStyle w:val="Corpodotexto"/>
        <w:jc w:val="both"/>
        <w:rPr>
          <w:rFonts w:ascii="Arial" w:hAnsi="Arial"/>
          <w:bCs/>
          <w:sz w:val="22"/>
          <w:szCs w:val="22"/>
        </w:rPr>
      </w:pPr>
      <w:r>
        <w:rPr>
          <w:rFonts w:ascii="Arial" w:hAnsi="Arial"/>
          <w:bCs/>
          <w:sz w:val="22"/>
          <w:szCs w:val="22"/>
        </w:rPr>
      </w:r>
    </w:p>
    <w:p>
      <w:pPr>
        <w:pStyle w:val="Corpodotexto"/>
        <w:jc w:val="both"/>
        <w:rPr>
          <w:b/>
          <w:b/>
          <w:bCs/>
        </w:rPr>
      </w:pPr>
      <w:r>
        <w:rPr>
          <w:b/>
          <w:bCs/>
        </w:rPr>
      </w:r>
    </w:p>
    <w:p>
      <w:pPr>
        <w:pStyle w:val="Corpodotexto"/>
        <w:jc w:val="both"/>
        <w:rPr/>
      </w:pPr>
      <w:r>
        <w:rPr>
          <w:rFonts w:ascii="Arial" w:hAnsi="Arial"/>
          <w:b/>
          <w:bCs/>
          <w:sz w:val="22"/>
          <w:szCs w:val="22"/>
        </w:rPr>
        <w:t>7. CLÁUSULA</w:t>
      </w:r>
      <w:r>
        <w:rPr>
          <w:rFonts w:ascii="Arial" w:hAnsi="Arial"/>
          <w:b/>
          <w:bCs/>
          <w:spacing w:val="-12"/>
          <w:sz w:val="22"/>
          <w:szCs w:val="22"/>
        </w:rPr>
        <w:t xml:space="preserve"> </w:t>
      </w:r>
      <w:r>
        <w:rPr>
          <w:rFonts w:ascii="Arial" w:hAnsi="Arial"/>
          <w:b/>
          <w:bCs/>
          <w:sz w:val="22"/>
          <w:szCs w:val="22"/>
        </w:rPr>
        <w:t>SÉTIMA</w:t>
      </w:r>
      <w:r>
        <w:rPr>
          <w:rFonts w:ascii="Arial" w:hAnsi="Arial"/>
          <w:b/>
          <w:bCs/>
          <w:spacing w:val="-11"/>
          <w:sz w:val="22"/>
          <w:szCs w:val="22"/>
        </w:rPr>
        <w:t xml:space="preserve"> </w:t>
      </w:r>
      <w:r>
        <w:rPr>
          <w:rFonts w:ascii="Arial" w:hAnsi="Arial"/>
          <w:b/>
          <w:bCs/>
          <w:sz w:val="22"/>
          <w:szCs w:val="22"/>
        </w:rPr>
        <w:t>–</w:t>
      </w:r>
      <w:r>
        <w:rPr>
          <w:rFonts w:ascii="Arial" w:hAnsi="Arial"/>
          <w:b/>
          <w:bCs/>
          <w:spacing w:val="-8"/>
          <w:sz w:val="22"/>
          <w:szCs w:val="22"/>
        </w:rPr>
        <w:t xml:space="preserve"> </w:t>
      </w:r>
      <w:r>
        <w:rPr>
          <w:rFonts w:ascii="Arial" w:hAnsi="Arial"/>
          <w:b/>
          <w:bCs/>
          <w:sz w:val="22"/>
          <w:szCs w:val="22"/>
        </w:rPr>
        <w:t>DO PAGAMENTO</w:t>
      </w:r>
    </w:p>
    <w:p>
      <w:pPr>
        <w:pStyle w:val="Corpodotexto"/>
        <w:jc w:val="both"/>
        <w:rPr>
          <w:rFonts w:ascii="Arial" w:hAnsi="Arial"/>
          <w:bCs/>
          <w:sz w:val="22"/>
          <w:szCs w:val="22"/>
        </w:rPr>
      </w:pPr>
      <w:r>
        <w:rPr>
          <w:rFonts w:ascii="Arial" w:hAnsi="Arial"/>
          <w:bCs/>
          <w:sz w:val="22"/>
          <w:szCs w:val="22"/>
        </w:rPr>
      </w:r>
    </w:p>
    <w:p>
      <w:pPr>
        <w:pStyle w:val="Corpodotexto"/>
        <w:jc w:val="both"/>
        <w:rPr/>
      </w:pPr>
      <w:r>
        <w:rPr>
          <w:rFonts w:ascii="Arial" w:hAnsi="Arial"/>
          <w:spacing w:val="-8"/>
          <w:sz w:val="22"/>
          <w:szCs w:val="22"/>
        </w:rPr>
        <w:t>7.1 O CONTRATANTE pagará à CONTRATADA pela etapa efetivamente executada no mês de referência, em conformidade com o cronograma de execução físico financeiro, após a medição pelo gestor e fiscal designado para acompanhar e fiscalizar a execução do contrato.</w:t>
      </w:r>
    </w:p>
    <w:p>
      <w:pPr>
        <w:pStyle w:val="Corpodotexto"/>
        <w:jc w:val="both"/>
        <w:rPr>
          <w:rFonts w:ascii="Arial" w:hAnsi="Arial"/>
          <w:b/>
          <w:b/>
          <w:spacing w:val="-8"/>
          <w:sz w:val="22"/>
          <w:szCs w:val="22"/>
        </w:rPr>
      </w:pPr>
      <w:r>
        <w:rPr>
          <w:rFonts w:ascii="Arial" w:hAnsi="Arial"/>
          <w:b/>
          <w:spacing w:val="-8"/>
          <w:sz w:val="22"/>
          <w:szCs w:val="22"/>
        </w:rPr>
      </w:r>
    </w:p>
    <w:p>
      <w:pPr>
        <w:pStyle w:val="Corpodotexto"/>
        <w:jc w:val="both"/>
        <w:rPr/>
      </w:pPr>
      <w:r>
        <w:rPr>
          <w:rFonts w:ascii="Arial" w:hAnsi="Arial"/>
          <w:spacing w:val="-8"/>
          <w:sz w:val="22"/>
          <w:szCs w:val="22"/>
        </w:rPr>
        <w:t xml:space="preserve">7.2. </w:t>
      </w:r>
      <w:r>
        <w:rPr>
          <w:rFonts w:ascii="Arial" w:hAnsi="Arial"/>
          <w:sz w:val="22"/>
          <w:szCs w:val="22"/>
        </w:rPr>
        <w:t>O</w:t>
      </w:r>
      <w:r>
        <w:rPr>
          <w:rFonts w:ascii="Arial" w:hAnsi="Arial"/>
          <w:spacing w:val="-8"/>
          <w:sz w:val="22"/>
          <w:szCs w:val="22"/>
        </w:rPr>
        <w:t xml:space="preserve"> </w:t>
      </w:r>
      <w:r>
        <w:rPr>
          <w:rFonts w:ascii="Arial" w:hAnsi="Arial"/>
          <w:sz w:val="22"/>
          <w:szCs w:val="22"/>
        </w:rPr>
        <w:t>pagamento</w:t>
      </w:r>
      <w:r>
        <w:rPr>
          <w:rFonts w:ascii="Arial" w:hAnsi="Arial"/>
          <w:spacing w:val="-10"/>
          <w:sz w:val="22"/>
          <w:szCs w:val="22"/>
        </w:rPr>
        <w:t xml:space="preserve"> </w:t>
      </w:r>
      <w:r>
        <w:rPr>
          <w:rFonts w:ascii="Arial" w:hAnsi="Arial"/>
          <w:sz w:val="22"/>
          <w:szCs w:val="22"/>
        </w:rPr>
        <w:t>do</w:t>
      </w:r>
      <w:r>
        <w:rPr>
          <w:rFonts w:ascii="Arial" w:hAnsi="Arial"/>
          <w:spacing w:val="-8"/>
          <w:sz w:val="22"/>
          <w:szCs w:val="22"/>
        </w:rPr>
        <w:t xml:space="preserve"> </w:t>
      </w:r>
      <w:r>
        <w:rPr>
          <w:rFonts w:ascii="Arial" w:hAnsi="Arial"/>
          <w:sz w:val="22"/>
          <w:szCs w:val="22"/>
        </w:rPr>
        <w:t>preço</w:t>
      </w:r>
      <w:r>
        <w:rPr>
          <w:rFonts w:ascii="Arial" w:hAnsi="Arial"/>
          <w:spacing w:val="-9"/>
          <w:sz w:val="22"/>
          <w:szCs w:val="22"/>
        </w:rPr>
        <w:t xml:space="preserve"> </w:t>
      </w:r>
      <w:r>
        <w:rPr>
          <w:rFonts w:ascii="Arial" w:hAnsi="Arial"/>
          <w:sz w:val="22"/>
          <w:szCs w:val="22"/>
        </w:rPr>
        <w:t>pactuado</w:t>
      </w:r>
      <w:r>
        <w:rPr>
          <w:rFonts w:ascii="Arial" w:hAnsi="Arial"/>
          <w:spacing w:val="-11"/>
          <w:sz w:val="22"/>
          <w:szCs w:val="22"/>
        </w:rPr>
        <w:t xml:space="preserve"> </w:t>
      </w:r>
      <w:r>
        <w:rPr>
          <w:rFonts w:ascii="Arial" w:hAnsi="Arial"/>
          <w:sz w:val="22"/>
          <w:szCs w:val="22"/>
        </w:rPr>
        <w:t>será</w:t>
      </w:r>
      <w:r>
        <w:rPr>
          <w:rFonts w:ascii="Arial" w:hAnsi="Arial"/>
          <w:spacing w:val="-6"/>
          <w:sz w:val="22"/>
          <w:szCs w:val="22"/>
        </w:rPr>
        <w:t xml:space="preserve"> </w:t>
      </w:r>
      <w:r>
        <w:rPr>
          <w:rFonts w:ascii="Arial" w:hAnsi="Arial"/>
          <w:sz w:val="22"/>
          <w:szCs w:val="22"/>
        </w:rPr>
        <w:t>efetuado</w:t>
      </w:r>
      <w:r>
        <w:rPr>
          <w:rFonts w:ascii="Arial" w:hAnsi="Arial"/>
          <w:spacing w:val="-7"/>
          <w:sz w:val="22"/>
          <w:szCs w:val="22"/>
        </w:rPr>
        <w:t xml:space="preserve"> </w:t>
      </w:r>
      <w:r>
        <w:rPr>
          <w:rFonts w:ascii="Arial" w:hAnsi="Arial"/>
          <w:sz w:val="22"/>
          <w:szCs w:val="22"/>
        </w:rPr>
        <w:t>no</w:t>
      </w:r>
      <w:r>
        <w:rPr>
          <w:rFonts w:ascii="Arial" w:hAnsi="Arial"/>
          <w:spacing w:val="-11"/>
          <w:sz w:val="22"/>
          <w:szCs w:val="22"/>
        </w:rPr>
        <w:t xml:space="preserve"> </w:t>
      </w:r>
      <w:r>
        <w:rPr>
          <w:rFonts w:ascii="Arial" w:hAnsi="Arial"/>
          <w:sz w:val="22"/>
          <w:szCs w:val="22"/>
        </w:rPr>
        <w:t>prazo</w:t>
      </w:r>
      <w:r>
        <w:rPr>
          <w:rFonts w:ascii="Arial" w:hAnsi="Arial"/>
          <w:spacing w:val="-7"/>
          <w:sz w:val="22"/>
          <w:szCs w:val="22"/>
        </w:rPr>
        <w:t xml:space="preserve"> </w:t>
      </w:r>
      <w:r>
        <w:rPr>
          <w:rFonts w:ascii="Arial" w:hAnsi="Arial"/>
          <w:sz w:val="22"/>
          <w:szCs w:val="22"/>
        </w:rPr>
        <w:t>de</w:t>
      </w:r>
      <w:r>
        <w:rPr>
          <w:rFonts w:ascii="Arial" w:hAnsi="Arial"/>
          <w:spacing w:val="-10"/>
          <w:sz w:val="22"/>
          <w:szCs w:val="22"/>
        </w:rPr>
        <w:t xml:space="preserve"> </w:t>
      </w:r>
      <w:r>
        <w:rPr>
          <w:rFonts w:ascii="Arial" w:hAnsi="Arial"/>
          <w:sz w:val="22"/>
          <w:szCs w:val="22"/>
        </w:rPr>
        <w:t>30</w:t>
      </w:r>
      <w:r>
        <w:rPr>
          <w:rFonts w:ascii="Arial" w:hAnsi="Arial"/>
          <w:spacing w:val="-10"/>
          <w:sz w:val="22"/>
          <w:szCs w:val="22"/>
        </w:rPr>
        <w:t xml:space="preserve"> </w:t>
      </w:r>
      <w:r>
        <w:rPr>
          <w:rFonts w:ascii="Arial" w:hAnsi="Arial"/>
          <w:sz w:val="22"/>
          <w:szCs w:val="22"/>
        </w:rPr>
        <w:t>(trinta)</w:t>
      </w:r>
      <w:r>
        <w:rPr>
          <w:rFonts w:ascii="Arial" w:hAnsi="Arial"/>
          <w:spacing w:val="-9"/>
          <w:sz w:val="22"/>
          <w:szCs w:val="22"/>
        </w:rPr>
        <w:t xml:space="preserve"> </w:t>
      </w:r>
      <w:r>
        <w:rPr>
          <w:rFonts w:ascii="Arial" w:hAnsi="Arial"/>
          <w:sz w:val="22"/>
          <w:szCs w:val="22"/>
        </w:rPr>
        <w:t>dias</w:t>
      </w:r>
      <w:r>
        <w:rPr>
          <w:rFonts w:ascii="Arial" w:hAnsi="Arial"/>
          <w:spacing w:val="-6"/>
          <w:sz w:val="22"/>
          <w:szCs w:val="22"/>
        </w:rPr>
        <w:t xml:space="preserve"> </w:t>
      </w:r>
      <w:r>
        <w:rPr>
          <w:rFonts w:ascii="Arial" w:hAnsi="Arial"/>
          <w:sz w:val="22"/>
          <w:szCs w:val="22"/>
        </w:rPr>
        <w:t>após</w:t>
      </w:r>
      <w:r>
        <w:rPr>
          <w:rFonts w:ascii="Arial" w:hAnsi="Arial"/>
          <w:spacing w:val="-9"/>
          <w:sz w:val="22"/>
          <w:szCs w:val="22"/>
        </w:rPr>
        <w:t xml:space="preserve"> </w:t>
      </w:r>
      <w:r>
        <w:rPr>
          <w:rFonts w:ascii="Arial" w:hAnsi="Arial"/>
          <w:sz w:val="22"/>
          <w:szCs w:val="22"/>
        </w:rPr>
        <w:t>a</w:t>
      </w:r>
      <w:r>
        <w:rPr>
          <w:rFonts w:ascii="Arial" w:hAnsi="Arial"/>
          <w:spacing w:val="-7"/>
          <w:sz w:val="22"/>
          <w:szCs w:val="22"/>
        </w:rPr>
        <w:t xml:space="preserve"> </w:t>
      </w:r>
      <w:r>
        <w:rPr>
          <w:rFonts w:ascii="Arial" w:hAnsi="Arial"/>
          <w:sz w:val="22"/>
          <w:szCs w:val="22"/>
        </w:rPr>
        <w:t>emissão</w:t>
      </w:r>
      <w:r>
        <w:rPr>
          <w:rFonts w:ascii="Arial" w:hAnsi="Arial"/>
          <w:spacing w:val="-10"/>
          <w:sz w:val="22"/>
          <w:szCs w:val="22"/>
        </w:rPr>
        <w:t xml:space="preserve"> </w:t>
      </w:r>
      <w:r>
        <w:rPr>
          <w:rFonts w:ascii="Arial" w:hAnsi="Arial"/>
          <w:sz w:val="22"/>
          <w:szCs w:val="22"/>
        </w:rPr>
        <w:t>da</w:t>
      </w:r>
      <w:r>
        <w:rPr>
          <w:rFonts w:ascii="Arial" w:hAnsi="Arial"/>
          <w:spacing w:val="-8"/>
          <w:sz w:val="22"/>
          <w:szCs w:val="22"/>
        </w:rPr>
        <w:t xml:space="preserve"> </w:t>
      </w:r>
      <w:r>
        <w:rPr>
          <w:rFonts w:ascii="Arial" w:hAnsi="Arial"/>
          <w:sz w:val="22"/>
          <w:szCs w:val="22"/>
        </w:rPr>
        <w:t>nota</w:t>
      </w:r>
      <w:r>
        <w:rPr>
          <w:rFonts w:ascii="Arial" w:hAnsi="Arial"/>
          <w:spacing w:val="-53"/>
          <w:sz w:val="22"/>
          <w:szCs w:val="22"/>
        </w:rPr>
        <w:t xml:space="preserve"> </w:t>
      </w:r>
      <w:r>
        <w:rPr>
          <w:rFonts w:ascii="Arial" w:hAnsi="Arial"/>
          <w:sz w:val="22"/>
          <w:szCs w:val="22"/>
        </w:rPr>
        <w:t>fiscal,</w:t>
      </w:r>
      <w:r>
        <w:rPr>
          <w:rFonts w:ascii="Arial" w:hAnsi="Arial"/>
          <w:spacing w:val="1"/>
          <w:sz w:val="22"/>
          <w:szCs w:val="22"/>
        </w:rPr>
        <w:t xml:space="preserve"> </w:t>
      </w:r>
      <w:r>
        <w:rPr>
          <w:rFonts w:ascii="Arial" w:hAnsi="Arial"/>
          <w:sz w:val="22"/>
          <w:szCs w:val="22"/>
        </w:rPr>
        <w:t>devendo</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Contratada</w:t>
      </w:r>
      <w:r>
        <w:rPr>
          <w:rFonts w:ascii="Arial" w:hAnsi="Arial"/>
          <w:spacing w:val="1"/>
          <w:sz w:val="22"/>
          <w:szCs w:val="22"/>
        </w:rPr>
        <w:t xml:space="preserve"> </w:t>
      </w:r>
      <w:r>
        <w:rPr>
          <w:rFonts w:ascii="Arial" w:hAnsi="Arial"/>
          <w:sz w:val="22"/>
          <w:szCs w:val="22"/>
        </w:rPr>
        <w:t>proceder</w:t>
      </w:r>
      <w:r>
        <w:rPr>
          <w:rFonts w:ascii="Arial" w:hAnsi="Arial"/>
          <w:spacing w:val="1"/>
          <w:sz w:val="22"/>
          <w:szCs w:val="22"/>
        </w:rPr>
        <w:t xml:space="preserve"> </w:t>
      </w:r>
      <w:r>
        <w:rPr>
          <w:rFonts w:ascii="Arial" w:hAnsi="Arial"/>
          <w:sz w:val="22"/>
          <w:szCs w:val="22"/>
        </w:rPr>
        <w:t>a</w:t>
      </w:r>
      <w:r>
        <w:rPr>
          <w:rFonts w:ascii="Arial" w:hAnsi="Arial"/>
          <w:spacing w:val="1"/>
          <w:sz w:val="22"/>
          <w:szCs w:val="22"/>
        </w:rPr>
        <w:t xml:space="preserve"> </w:t>
      </w:r>
      <w:r>
        <w:rPr>
          <w:rFonts w:ascii="Arial" w:hAnsi="Arial"/>
          <w:sz w:val="22"/>
          <w:szCs w:val="22"/>
        </w:rPr>
        <w:t>abertura</w:t>
      </w:r>
      <w:r>
        <w:rPr>
          <w:rFonts w:ascii="Arial" w:hAnsi="Arial"/>
          <w:spacing w:val="1"/>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processo</w:t>
      </w:r>
      <w:r>
        <w:rPr>
          <w:rFonts w:ascii="Arial" w:hAnsi="Arial"/>
          <w:spacing w:val="1"/>
          <w:sz w:val="22"/>
          <w:szCs w:val="22"/>
        </w:rPr>
        <w:t xml:space="preserve"> </w:t>
      </w:r>
      <w:r>
        <w:rPr>
          <w:rFonts w:ascii="Arial" w:hAnsi="Arial"/>
          <w:sz w:val="22"/>
          <w:szCs w:val="22"/>
        </w:rPr>
        <w:t>eletrônico</w:t>
      </w:r>
      <w:r>
        <w:rPr>
          <w:rFonts w:ascii="Arial" w:hAnsi="Arial"/>
          <w:spacing w:val="1"/>
          <w:sz w:val="22"/>
          <w:szCs w:val="22"/>
        </w:rPr>
        <w:t xml:space="preserve"> </w:t>
      </w:r>
      <w:r>
        <w:rPr>
          <w:rFonts w:ascii="Arial" w:hAnsi="Arial"/>
          <w:sz w:val="22"/>
          <w:szCs w:val="22"/>
        </w:rPr>
        <w:t>(link:</w:t>
      </w:r>
      <w:r>
        <w:rPr>
          <w:rFonts w:ascii="Arial" w:hAnsi="Arial"/>
          <w:spacing w:val="1"/>
          <w:sz w:val="22"/>
          <w:szCs w:val="22"/>
        </w:rPr>
        <w:t xml:space="preserve"> </w:t>
      </w:r>
      <w:hyperlink r:id="rId25">
        <w:r>
          <w:rPr>
            <w:rStyle w:val="LinkdaInternet"/>
            <w:rFonts w:ascii="Arial" w:hAnsi="Arial"/>
            <w:sz w:val="22"/>
            <w:szCs w:val="22"/>
          </w:rPr>
          <w:t>https://aracruz.prefeiturasempapel.com.br/portal/login.aspx</w:t>
        </w:r>
      </w:hyperlink>
      <w:r>
        <w:rPr>
          <w:rFonts w:ascii="Arial" w:hAnsi="Arial"/>
          <w:sz w:val="22"/>
          <w:szCs w:val="22"/>
        </w:rPr>
        <w:t>) ou solicitar presencialmente junto ao Setor</w:t>
      </w:r>
      <w:r>
        <w:rPr>
          <w:rFonts w:ascii="Arial" w:hAnsi="Arial"/>
          <w:spacing w:val="-53"/>
          <w:sz w:val="22"/>
          <w:szCs w:val="22"/>
        </w:rPr>
        <w:t xml:space="preserve"> </w:t>
      </w:r>
      <w:r>
        <w:rPr>
          <w:rFonts w:ascii="Arial" w:hAnsi="Arial"/>
          <w:sz w:val="22"/>
          <w:szCs w:val="22"/>
        </w:rPr>
        <w:t>de</w:t>
      </w:r>
      <w:r>
        <w:rPr>
          <w:rFonts w:ascii="Arial" w:hAnsi="Arial"/>
          <w:spacing w:val="1"/>
          <w:sz w:val="22"/>
          <w:szCs w:val="22"/>
        </w:rPr>
        <w:t xml:space="preserve"> </w:t>
      </w:r>
      <w:r>
        <w:rPr>
          <w:rFonts w:ascii="Arial" w:hAnsi="Arial"/>
          <w:sz w:val="22"/>
          <w:szCs w:val="22"/>
        </w:rPr>
        <w:t>Protocolo</w:t>
      </w:r>
      <w:r>
        <w:rPr>
          <w:rFonts w:ascii="Arial" w:hAnsi="Arial"/>
          <w:spacing w:val="1"/>
          <w:sz w:val="22"/>
          <w:szCs w:val="22"/>
        </w:rPr>
        <w:t xml:space="preserve"> </w:t>
      </w:r>
      <w:r>
        <w:rPr>
          <w:rFonts w:ascii="Arial" w:hAnsi="Arial"/>
          <w:sz w:val="22"/>
          <w:szCs w:val="22"/>
        </w:rPr>
        <w:t>Geral</w:t>
      </w:r>
      <w:r>
        <w:rPr>
          <w:rFonts w:ascii="Arial" w:hAnsi="Arial"/>
          <w:spacing w:val="1"/>
          <w:sz w:val="22"/>
          <w:szCs w:val="22"/>
        </w:rPr>
        <w:t xml:space="preserve"> </w:t>
      </w:r>
      <w:r>
        <w:rPr>
          <w:rFonts w:ascii="Arial" w:hAnsi="Arial"/>
          <w:sz w:val="22"/>
          <w:szCs w:val="22"/>
        </w:rPr>
        <w:t>da</w:t>
      </w:r>
      <w:r>
        <w:rPr>
          <w:rFonts w:ascii="Arial" w:hAnsi="Arial"/>
          <w:spacing w:val="1"/>
          <w:sz w:val="22"/>
          <w:szCs w:val="22"/>
        </w:rPr>
        <w:t xml:space="preserve"> </w:t>
      </w:r>
      <w:r>
        <w:rPr>
          <w:rFonts w:ascii="Arial" w:hAnsi="Arial"/>
          <w:sz w:val="22"/>
          <w:szCs w:val="22"/>
        </w:rPr>
        <w:t>PMA,</w:t>
      </w:r>
      <w:r>
        <w:rPr>
          <w:rFonts w:ascii="Arial" w:hAnsi="Arial"/>
          <w:spacing w:val="1"/>
          <w:sz w:val="22"/>
          <w:szCs w:val="22"/>
        </w:rPr>
        <w:t xml:space="preserve"> </w:t>
      </w:r>
      <w:r>
        <w:rPr>
          <w:rFonts w:ascii="Arial" w:hAnsi="Arial"/>
          <w:sz w:val="22"/>
          <w:szCs w:val="22"/>
        </w:rPr>
        <w:t>localizado</w:t>
      </w:r>
      <w:r>
        <w:rPr>
          <w:rFonts w:ascii="Arial" w:hAnsi="Arial"/>
          <w:spacing w:val="1"/>
          <w:sz w:val="22"/>
          <w:szCs w:val="22"/>
        </w:rPr>
        <w:t xml:space="preserve"> </w:t>
      </w:r>
      <w:r>
        <w:rPr>
          <w:rFonts w:ascii="Arial" w:hAnsi="Arial"/>
          <w:sz w:val="22"/>
          <w:szCs w:val="22"/>
        </w:rPr>
        <w:t>na</w:t>
      </w:r>
      <w:r>
        <w:rPr>
          <w:rFonts w:ascii="Arial" w:hAnsi="Arial"/>
          <w:spacing w:val="1"/>
          <w:sz w:val="22"/>
          <w:szCs w:val="22"/>
        </w:rPr>
        <w:t xml:space="preserve"> </w:t>
      </w:r>
      <w:r>
        <w:rPr>
          <w:rFonts w:ascii="Arial" w:hAnsi="Arial"/>
          <w:sz w:val="22"/>
          <w:szCs w:val="22"/>
        </w:rPr>
        <w:t>Rua</w:t>
      </w:r>
      <w:r>
        <w:rPr>
          <w:rFonts w:ascii="Arial" w:hAnsi="Arial"/>
          <w:spacing w:val="1"/>
          <w:sz w:val="22"/>
          <w:szCs w:val="22"/>
        </w:rPr>
        <w:t xml:space="preserve"> </w:t>
      </w:r>
      <w:r>
        <w:rPr>
          <w:rFonts w:ascii="Arial" w:hAnsi="Arial"/>
          <w:sz w:val="22"/>
          <w:szCs w:val="22"/>
        </w:rPr>
        <w:t>Padre</w:t>
      </w:r>
      <w:r>
        <w:rPr>
          <w:rFonts w:ascii="Arial" w:hAnsi="Arial"/>
          <w:spacing w:val="1"/>
          <w:sz w:val="22"/>
          <w:szCs w:val="22"/>
        </w:rPr>
        <w:t xml:space="preserve"> </w:t>
      </w:r>
      <w:r>
        <w:rPr>
          <w:rFonts w:ascii="Arial" w:hAnsi="Arial"/>
          <w:sz w:val="22"/>
          <w:szCs w:val="22"/>
        </w:rPr>
        <w:t>Luiz</w:t>
      </w:r>
      <w:r>
        <w:rPr>
          <w:rFonts w:ascii="Arial" w:hAnsi="Arial"/>
          <w:spacing w:val="1"/>
          <w:sz w:val="22"/>
          <w:szCs w:val="22"/>
        </w:rPr>
        <w:t xml:space="preserve"> </w:t>
      </w:r>
      <w:r>
        <w:rPr>
          <w:rFonts w:ascii="Arial" w:hAnsi="Arial"/>
          <w:sz w:val="22"/>
          <w:szCs w:val="22"/>
        </w:rPr>
        <w:t>Parenzi,</w:t>
      </w:r>
      <w:r>
        <w:rPr>
          <w:rFonts w:ascii="Arial" w:hAnsi="Arial"/>
          <w:spacing w:val="1"/>
          <w:sz w:val="22"/>
          <w:szCs w:val="22"/>
        </w:rPr>
        <w:t xml:space="preserve"> </w:t>
      </w:r>
      <w:r>
        <w:rPr>
          <w:rFonts w:ascii="Arial" w:hAnsi="Arial"/>
          <w:sz w:val="22"/>
          <w:szCs w:val="22"/>
        </w:rPr>
        <w:t>nº</w:t>
      </w:r>
      <w:r>
        <w:rPr>
          <w:rFonts w:ascii="Arial" w:hAnsi="Arial"/>
          <w:spacing w:val="1"/>
          <w:sz w:val="22"/>
          <w:szCs w:val="22"/>
        </w:rPr>
        <w:t xml:space="preserve"> </w:t>
      </w:r>
      <w:r>
        <w:rPr>
          <w:rFonts w:ascii="Arial" w:hAnsi="Arial"/>
          <w:sz w:val="22"/>
          <w:szCs w:val="22"/>
        </w:rPr>
        <w:t>710,</w:t>
      </w:r>
      <w:r>
        <w:rPr>
          <w:rFonts w:ascii="Arial" w:hAnsi="Arial"/>
          <w:spacing w:val="1"/>
          <w:sz w:val="22"/>
          <w:szCs w:val="22"/>
        </w:rPr>
        <w:t xml:space="preserve"> </w:t>
      </w:r>
      <w:r>
        <w:rPr>
          <w:rFonts w:ascii="Arial" w:hAnsi="Arial"/>
          <w:sz w:val="22"/>
          <w:szCs w:val="22"/>
        </w:rPr>
        <w:t>Aracruz/ES,</w:t>
      </w:r>
      <w:r>
        <w:rPr>
          <w:rFonts w:ascii="Arial" w:hAnsi="Arial"/>
          <w:spacing w:val="1"/>
          <w:sz w:val="22"/>
          <w:szCs w:val="22"/>
        </w:rPr>
        <w:t xml:space="preserve"> </w:t>
      </w:r>
      <w:r>
        <w:rPr>
          <w:rFonts w:ascii="Arial" w:hAnsi="Arial"/>
          <w:sz w:val="22"/>
          <w:szCs w:val="22"/>
        </w:rPr>
        <w:t>Centro,</w:t>
      </w:r>
      <w:r>
        <w:rPr>
          <w:rFonts w:ascii="Arial" w:hAnsi="Arial"/>
          <w:spacing w:val="1"/>
          <w:sz w:val="22"/>
          <w:szCs w:val="22"/>
        </w:rPr>
        <w:t xml:space="preserve"> </w:t>
      </w:r>
      <w:r>
        <w:rPr>
          <w:rFonts w:ascii="Arial" w:hAnsi="Arial"/>
          <w:sz w:val="22"/>
          <w:szCs w:val="22"/>
        </w:rPr>
        <w:t>Aracruz/ES, encaminhando Planilha Orçamentária de medição, constando o período de execução dos</w:t>
      </w:r>
      <w:r>
        <w:rPr>
          <w:rFonts w:ascii="Arial" w:hAnsi="Arial"/>
          <w:spacing w:val="1"/>
          <w:sz w:val="22"/>
          <w:szCs w:val="22"/>
        </w:rPr>
        <w:t xml:space="preserve"> </w:t>
      </w:r>
      <w:r>
        <w:rPr>
          <w:rFonts w:ascii="Arial" w:hAnsi="Arial"/>
          <w:sz w:val="22"/>
          <w:szCs w:val="22"/>
        </w:rPr>
        <w:t>serviços,</w:t>
      </w:r>
      <w:r>
        <w:rPr>
          <w:rFonts w:ascii="Arial" w:hAnsi="Arial"/>
          <w:spacing w:val="-2"/>
          <w:sz w:val="22"/>
          <w:szCs w:val="22"/>
        </w:rPr>
        <w:t xml:space="preserve"> </w:t>
      </w:r>
      <w:r>
        <w:rPr>
          <w:rFonts w:ascii="Arial" w:hAnsi="Arial"/>
          <w:sz w:val="22"/>
          <w:szCs w:val="22"/>
        </w:rPr>
        <w:t>memória</w:t>
      </w:r>
      <w:r>
        <w:rPr>
          <w:rFonts w:ascii="Arial" w:hAnsi="Arial"/>
          <w:spacing w:val="1"/>
          <w:sz w:val="22"/>
          <w:szCs w:val="22"/>
        </w:rPr>
        <w:t xml:space="preserve"> </w:t>
      </w:r>
      <w:r>
        <w:rPr>
          <w:rFonts w:ascii="Arial" w:hAnsi="Arial"/>
          <w:sz w:val="22"/>
          <w:szCs w:val="22"/>
        </w:rPr>
        <w:t>de</w:t>
      </w:r>
      <w:r>
        <w:rPr>
          <w:rFonts w:ascii="Arial" w:hAnsi="Arial"/>
          <w:spacing w:val="-2"/>
          <w:sz w:val="22"/>
          <w:szCs w:val="22"/>
        </w:rPr>
        <w:t xml:space="preserve"> </w:t>
      </w:r>
      <w:r>
        <w:rPr>
          <w:rFonts w:ascii="Arial" w:hAnsi="Arial"/>
          <w:sz w:val="22"/>
          <w:szCs w:val="22"/>
        </w:rPr>
        <w:t>cálculo</w:t>
      </w:r>
      <w:r>
        <w:rPr>
          <w:rFonts w:ascii="Arial" w:hAnsi="Arial"/>
          <w:spacing w:val="-1"/>
          <w:sz w:val="22"/>
          <w:szCs w:val="22"/>
        </w:rPr>
        <w:t xml:space="preserve"> </w:t>
      </w:r>
      <w:r>
        <w:rPr>
          <w:rFonts w:ascii="Arial" w:hAnsi="Arial"/>
          <w:sz w:val="22"/>
          <w:szCs w:val="22"/>
        </w:rPr>
        <w:t>e</w:t>
      </w:r>
      <w:r>
        <w:rPr>
          <w:rFonts w:ascii="Arial" w:hAnsi="Arial"/>
          <w:spacing w:val="1"/>
          <w:sz w:val="22"/>
          <w:szCs w:val="22"/>
        </w:rPr>
        <w:t xml:space="preserve"> </w:t>
      </w:r>
      <w:r>
        <w:rPr>
          <w:rFonts w:ascii="Arial" w:hAnsi="Arial"/>
          <w:sz w:val="22"/>
          <w:szCs w:val="22"/>
        </w:rPr>
        <w:t>relatório</w:t>
      </w:r>
      <w:r>
        <w:rPr>
          <w:rFonts w:ascii="Arial" w:hAnsi="Arial"/>
          <w:spacing w:val="1"/>
          <w:sz w:val="22"/>
          <w:szCs w:val="22"/>
        </w:rPr>
        <w:t xml:space="preserve"> </w:t>
      </w:r>
      <w:r>
        <w:rPr>
          <w:rFonts w:ascii="Arial" w:hAnsi="Arial"/>
          <w:sz w:val="22"/>
          <w:szCs w:val="22"/>
        </w:rPr>
        <w:t>fotográfico</w:t>
      </w:r>
      <w:r>
        <w:rPr>
          <w:rFonts w:ascii="Arial" w:hAnsi="Arial"/>
          <w:spacing w:val="-1"/>
          <w:sz w:val="22"/>
          <w:szCs w:val="22"/>
        </w:rPr>
        <w:t xml:space="preserve"> </w:t>
      </w:r>
      <w:r>
        <w:rPr>
          <w:rFonts w:ascii="Arial" w:hAnsi="Arial"/>
          <w:sz w:val="22"/>
          <w:szCs w:val="22"/>
        </w:rPr>
        <w:t>dos serviços</w:t>
      </w:r>
      <w:r>
        <w:rPr>
          <w:rFonts w:ascii="Arial" w:hAnsi="Arial"/>
          <w:spacing w:val="-1"/>
          <w:sz w:val="22"/>
          <w:szCs w:val="22"/>
        </w:rPr>
        <w:t xml:space="preserve"> </w:t>
      </w:r>
      <w:r>
        <w:rPr>
          <w:rFonts w:ascii="Arial" w:hAnsi="Arial"/>
          <w:sz w:val="22"/>
          <w:szCs w:val="22"/>
        </w:rPr>
        <w:t>executados.</w:t>
      </w:r>
    </w:p>
    <w:p>
      <w:pPr>
        <w:pStyle w:val="Corpodotexto"/>
        <w:jc w:val="both"/>
        <w:rPr>
          <w:rFonts w:ascii="Arial" w:hAnsi="Arial"/>
          <w:sz w:val="22"/>
          <w:szCs w:val="22"/>
        </w:rPr>
      </w:pPr>
      <w:r>
        <w:rPr>
          <w:rFonts w:ascii="Arial" w:hAnsi="Arial"/>
          <w:sz w:val="22"/>
          <w:szCs w:val="22"/>
        </w:rPr>
      </w:r>
    </w:p>
    <w:p>
      <w:pPr>
        <w:pStyle w:val="Normal"/>
        <w:tabs>
          <w:tab w:val="clear" w:pos="720"/>
          <w:tab w:val="left" w:pos="817" w:leader="none"/>
        </w:tabs>
        <w:jc w:val="both"/>
        <w:rPr/>
      </w:pPr>
      <w:r>
        <w:rPr>
          <w:rFonts w:ascii="Arial" w:hAnsi="Arial"/>
        </w:rPr>
        <w:t>7.3. A Nota Fiscal ou Fatura deverá ser entregue na própria Secretaria Municipal de Obras e Infraestrutura e obrigatoriamente acompanhada da Regularidade Fiscal da Contratada.</w:t>
      </w:r>
    </w:p>
    <w:p>
      <w:pPr>
        <w:pStyle w:val="Normal"/>
        <w:tabs>
          <w:tab w:val="clear" w:pos="720"/>
          <w:tab w:val="left" w:pos="817" w:leader="none"/>
        </w:tabs>
        <w:jc w:val="both"/>
        <w:rPr>
          <w:rFonts w:ascii="Arial" w:hAnsi="Arial"/>
        </w:rPr>
      </w:pPr>
      <w:r>
        <w:rPr>
          <w:rFonts w:ascii="Arial" w:hAnsi="Arial"/>
        </w:rPr>
      </w:r>
    </w:p>
    <w:p>
      <w:pPr>
        <w:pStyle w:val="ListParagraph"/>
        <w:tabs>
          <w:tab w:val="clear" w:pos="720"/>
          <w:tab w:val="left" w:pos="673" w:leader="none"/>
        </w:tabs>
        <w:ind w:left="0" w:hanging="0"/>
        <w:rPr/>
      </w:pPr>
      <w:r>
        <w:rPr>
          <w:rFonts w:ascii="Arial" w:hAnsi="Arial"/>
        </w:rPr>
        <w:t>7.4. Após a análise da solicitação e apresentação de Planilha Orçamentária com o ateste do responsável pela fiscalização dos serviços, a Contratante autorizará a emissão da Nota Fiscal, cabendo a ela informar o valor da referida à Contratada.</w:t>
      </w:r>
    </w:p>
    <w:p>
      <w:pPr>
        <w:pStyle w:val="ListParagraph"/>
        <w:tabs>
          <w:tab w:val="clear" w:pos="720"/>
          <w:tab w:val="left" w:pos="673" w:leader="none"/>
        </w:tabs>
        <w:ind w:left="0" w:hanging="0"/>
        <w:rPr>
          <w:rFonts w:ascii="Arial" w:hAnsi="Arial"/>
        </w:rPr>
      </w:pPr>
      <w:r>
        <w:rPr>
          <w:rFonts w:ascii="Arial" w:hAnsi="Arial"/>
        </w:rPr>
      </w:r>
    </w:p>
    <w:p>
      <w:pPr>
        <w:pStyle w:val="ListParagraph"/>
        <w:tabs>
          <w:tab w:val="clear" w:pos="720"/>
          <w:tab w:val="left" w:pos="673" w:leader="none"/>
        </w:tabs>
        <w:ind w:left="0" w:hanging="0"/>
        <w:rPr/>
      </w:pPr>
      <w:r>
        <w:rPr>
          <w:rFonts w:ascii="Arial" w:hAnsi="Arial"/>
        </w:rPr>
        <w:t>7.5. Ocorrendo erros na apresentação dos documentos fiscais, os mesmos serão devolvidos à Contratada para correção, ficando estabelecido que o prazo para pagamento será contado a partir da data de apresentação da nova documentação, devidamente corrigida sem qualquer ônus ou correção a ser paga pelo Contratante.</w:t>
      </w:r>
    </w:p>
    <w:p>
      <w:pPr>
        <w:pStyle w:val="ListParagraph"/>
        <w:tabs>
          <w:tab w:val="clear" w:pos="720"/>
          <w:tab w:val="left" w:pos="709" w:leader="none"/>
        </w:tabs>
        <w:ind w:left="0" w:hanging="0"/>
        <w:rPr>
          <w:rFonts w:ascii="Arial" w:hAnsi="Arial"/>
        </w:rPr>
      </w:pPr>
      <w:r>
        <w:rPr>
          <w:rFonts w:ascii="Arial" w:hAnsi="Arial"/>
        </w:rPr>
      </w:r>
    </w:p>
    <w:p>
      <w:pPr>
        <w:pStyle w:val="ListParagraph"/>
        <w:tabs>
          <w:tab w:val="clear" w:pos="720"/>
          <w:tab w:val="left" w:pos="709" w:leader="none"/>
        </w:tabs>
        <w:ind w:left="0" w:hanging="0"/>
        <w:rPr/>
      </w:pPr>
      <w:r>
        <w:rPr>
          <w:rFonts w:ascii="Arial" w:hAnsi="Arial"/>
        </w:rPr>
        <w:t>7.6. Os pagamentos serão efetuados mediante apresentação dos seguintes documentos: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a) Nota fiscal dos serviços;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61" w:leader="none"/>
        </w:tabs>
        <w:ind w:left="0" w:hanging="0"/>
        <w:rPr/>
      </w:pPr>
      <w:r>
        <w:rPr>
          <w:rFonts w:ascii="Arial" w:hAnsi="Arial"/>
        </w:rPr>
        <w:t>b) Prova de inscrição no Cadastro de Pessoas Físicas (CPF) ou no Cadastro Geral de Contribuintes (CGC);</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c) Prova de regularidade para com a Fazenda Federal, Estadual e Municipal do domicílio ou sede do CONTRATADO;</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d) Certidão Negativa de Débito junto à Fazenda Pública Municipal de Aracruz/ES;</w:t>
      </w:r>
    </w:p>
    <w:p>
      <w:pPr>
        <w:pStyle w:val="ListParagraph"/>
        <w:tabs>
          <w:tab w:val="clear" w:pos="720"/>
          <w:tab w:val="left" w:pos="387" w:leader="none"/>
        </w:tabs>
        <w:ind w:left="0" w:hanging="0"/>
        <w:rPr>
          <w:rFonts w:ascii="Arial" w:hAnsi="Arial"/>
        </w:rPr>
      </w:pPr>
      <w:r>
        <w:rPr>
          <w:rFonts w:ascii="Arial" w:hAnsi="Arial"/>
        </w:rPr>
      </w:r>
    </w:p>
    <w:p>
      <w:pPr>
        <w:pStyle w:val="ListParagraph"/>
        <w:tabs>
          <w:tab w:val="clear" w:pos="720"/>
          <w:tab w:val="left" w:pos="387" w:leader="none"/>
        </w:tabs>
        <w:ind w:left="0" w:hanging="0"/>
        <w:rPr/>
      </w:pPr>
      <w:r>
        <w:rPr>
          <w:rFonts w:ascii="Arial" w:hAnsi="Arial"/>
        </w:rPr>
        <w:t>e) Anotação de responsabilidade técnica (CREA) – 1ª Fatura;</w:t>
      </w:r>
    </w:p>
    <w:p>
      <w:pPr>
        <w:pStyle w:val="ListParagraph"/>
        <w:tabs>
          <w:tab w:val="clear" w:pos="720"/>
          <w:tab w:val="left" w:pos="320" w:leader="none"/>
        </w:tabs>
        <w:ind w:left="0" w:hanging="0"/>
        <w:rPr>
          <w:rFonts w:ascii="Arial" w:hAnsi="Arial"/>
        </w:rPr>
      </w:pPr>
      <w:r>
        <w:rPr>
          <w:rFonts w:ascii="Arial" w:hAnsi="Arial"/>
        </w:rPr>
      </w:r>
    </w:p>
    <w:p>
      <w:pPr>
        <w:pStyle w:val="ListParagraph"/>
        <w:tabs>
          <w:tab w:val="clear" w:pos="720"/>
          <w:tab w:val="left" w:pos="320" w:leader="none"/>
        </w:tabs>
        <w:ind w:left="0" w:hanging="0"/>
        <w:rPr/>
      </w:pPr>
      <w:r>
        <w:rPr>
          <w:rFonts w:ascii="Arial" w:hAnsi="Arial"/>
        </w:rPr>
        <w:t>f) Matrícula da obra junto ao INSS – 1ª Fatura;</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g) Prova de recolhimento junto ao INSS e FGTS referente aos serviços cobrados, todas as faturas;</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rPr>
        <w:t>h) Prova de pagamento de pessoal referente aos serviços prestados (período);</w:t>
      </w:r>
    </w:p>
    <w:p>
      <w:pPr>
        <w:pStyle w:val="ListParagraph"/>
        <w:tabs>
          <w:tab w:val="clear" w:pos="720"/>
          <w:tab w:val="left" w:pos="308" w:leader="none"/>
        </w:tabs>
        <w:ind w:left="0" w:hanging="0"/>
        <w:rPr>
          <w:rFonts w:ascii="Arial" w:hAnsi="Arial"/>
        </w:rPr>
      </w:pPr>
      <w:r>
        <w:rPr>
          <w:rFonts w:ascii="Arial" w:hAnsi="Arial"/>
        </w:rPr>
      </w:r>
    </w:p>
    <w:p>
      <w:pPr>
        <w:pStyle w:val="ListParagraph"/>
        <w:tabs>
          <w:tab w:val="clear" w:pos="720"/>
          <w:tab w:val="left" w:pos="308" w:leader="none"/>
        </w:tabs>
        <w:ind w:left="0" w:hanging="0"/>
        <w:rPr/>
      </w:pPr>
      <w:r>
        <w:rPr>
          <w:rFonts w:ascii="Arial" w:hAnsi="Arial"/>
        </w:rPr>
        <w:t>i) GFIP - Guia de Recolhimento do FGTS e de Informações à Previdência Social;</w:t>
      </w:r>
    </w:p>
    <w:p>
      <w:pPr>
        <w:pStyle w:val="ListParagraph"/>
        <w:tabs>
          <w:tab w:val="clear" w:pos="720"/>
          <w:tab w:val="left" w:pos="310" w:leader="none"/>
        </w:tabs>
        <w:ind w:left="0" w:hanging="0"/>
        <w:rPr/>
      </w:pPr>
      <w:r>
        <w:rPr/>
      </w:r>
    </w:p>
    <w:p>
      <w:pPr>
        <w:pStyle w:val="ListParagraph"/>
        <w:tabs>
          <w:tab w:val="clear" w:pos="720"/>
          <w:tab w:val="left" w:pos="310" w:leader="none"/>
        </w:tabs>
        <w:ind w:left="0" w:hanging="0"/>
        <w:rPr/>
      </w:pPr>
      <w:r>
        <w:rPr>
          <w:rFonts w:ascii="Arial" w:hAnsi="Arial"/>
        </w:rPr>
        <w:t>j) Certidão Negativa de Débito do INSS e FGTS, todas as faturas;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pPr>
      <w:r>
        <w:rPr>
          <w:rFonts w:ascii="Arial" w:hAnsi="Arial"/>
        </w:rPr>
        <w:t>k) Prova de inexistência de débitos inadimplidos perante a Justiça do Trabalho;</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pPr>
      <w:r>
        <w:rPr>
          <w:rFonts w:ascii="Arial" w:hAnsi="Arial"/>
        </w:rPr>
        <w:t>l) Termo de recebimento provisório, última fatura.</w:t>
      </w:r>
    </w:p>
    <w:p>
      <w:pPr>
        <w:pStyle w:val="ListParagraph"/>
        <w:tabs>
          <w:tab w:val="clear" w:pos="720"/>
          <w:tab w:val="left" w:pos="365" w:leader="none"/>
        </w:tabs>
        <w:ind w:left="0" w:hanging="0"/>
        <w:rPr>
          <w:rFonts w:ascii="Arial" w:hAnsi="Arial"/>
        </w:rPr>
      </w:pPr>
      <w:r>
        <w:rPr>
          <w:rFonts w:ascii="Arial" w:hAnsi="Arial"/>
        </w:rPr>
      </w:r>
    </w:p>
    <w:p>
      <w:pPr>
        <w:pStyle w:val="Ttulo1"/>
        <w:tabs>
          <w:tab w:val="clear" w:pos="720"/>
          <w:tab w:val="left" w:pos="474" w:leader="none"/>
        </w:tabs>
        <w:ind w:left="0" w:hanging="0"/>
        <w:jc w:val="both"/>
        <w:rPr/>
      </w:pPr>
      <w:r>
        <w:rPr>
          <w:rFonts w:eastAsia="Arial MT" w:cs="Arial MT"/>
          <w:b w:val="false"/>
          <w:bCs w:val="false"/>
          <w:sz w:val="22"/>
          <w:szCs w:val="22"/>
        </w:rPr>
        <w:t>7.7. Não será permitido pagamento antecipado, parcial ou total, relativo a parcelas contratuais vinculadas à execução de obras ou à prestação de serviços.</w:t>
      </w:r>
    </w:p>
    <w:p>
      <w:pPr>
        <w:pStyle w:val="Ttulo1"/>
        <w:tabs>
          <w:tab w:val="clear" w:pos="720"/>
          <w:tab w:val="left" w:pos="474" w:leader="none"/>
        </w:tabs>
        <w:ind w:left="0" w:hanging="0"/>
        <w:jc w:val="both"/>
        <w:rPr>
          <w:rFonts w:eastAsia="Arial MT" w:cs="Arial MT"/>
          <w:b w:val="false"/>
          <w:b w:val="false"/>
          <w:bCs w:val="false"/>
          <w:sz w:val="22"/>
          <w:szCs w:val="22"/>
        </w:rPr>
      </w:pPr>
      <w:r>
        <w:rPr>
          <w:rFonts w:eastAsia="Arial MT" w:cs="Arial MT"/>
          <w:b w:val="false"/>
          <w:bCs w:val="false"/>
          <w:sz w:val="22"/>
          <w:szCs w:val="22"/>
        </w:rPr>
      </w:r>
    </w:p>
    <w:p>
      <w:pPr>
        <w:pStyle w:val="Ttulo1"/>
        <w:tabs>
          <w:tab w:val="clear" w:pos="720"/>
          <w:tab w:val="left" w:pos="474" w:leader="none"/>
        </w:tabs>
        <w:ind w:left="0" w:hanging="0"/>
        <w:jc w:val="both"/>
        <w:rPr/>
      </w:pPr>
      <w:r>
        <w:rPr>
          <w:rFonts w:eastAsia="Arial MT" w:cs="Arial MT"/>
          <w:b w:val="false"/>
          <w:bCs w:val="false"/>
          <w:sz w:val="22"/>
          <w:szCs w:val="22"/>
        </w:rPr>
        <w:t>7.8. Com vistas a assegurar maior eficiência e celeridade aos pagamentos de obras e serviços prestados a esta Municipalidade, fica SUGERIDO à CONTRATADA que, após o encerramento do período mensal de medição, realize a abertura dos processos de pagamento junto ao sistema eletrônico de processos, num prazo de até 05 (cinco) dias úteis.</w:t>
      </w:r>
    </w:p>
    <w:p>
      <w:pPr>
        <w:pStyle w:val="Ttulo1"/>
        <w:tabs>
          <w:tab w:val="clear" w:pos="720"/>
          <w:tab w:val="left" w:pos="474" w:leader="none"/>
        </w:tabs>
        <w:ind w:left="0" w:hanging="0"/>
        <w:jc w:val="both"/>
        <w:rPr>
          <w:rFonts w:eastAsia="Arial MT" w:cs="Arial MT"/>
          <w:b w:val="false"/>
          <w:b w:val="false"/>
          <w:bCs w:val="false"/>
        </w:rPr>
      </w:pPr>
      <w:r>
        <w:rPr>
          <w:rFonts w:eastAsia="Arial MT" w:cs="Arial MT"/>
          <w:b w:val="false"/>
          <w:bCs w:val="false"/>
        </w:rPr>
      </w:r>
    </w:p>
    <w:p>
      <w:pPr>
        <w:pStyle w:val="Ttulo1"/>
        <w:tabs>
          <w:tab w:val="clear" w:pos="720"/>
          <w:tab w:val="left" w:pos="474" w:leader="none"/>
        </w:tabs>
        <w:ind w:left="0" w:hanging="0"/>
        <w:jc w:val="both"/>
        <w:rPr/>
      </w:pPr>
      <w:r>
        <w:rPr>
          <w:rFonts w:eastAsia="Arial MT" w:cs="Arial MT"/>
          <w:b w:val="false"/>
          <w:bCs w:val="false"/>
          <w:sz w:val="22"/>
          <w:szCs w:val="22"/>
        </w:rPr>
        <w:t>7.9. A SUGESTÃO do protocolo pela contratada, no período mencionado, se dá em função do tempo necessário para trâmites internos de documentação técnica realizada pela equipe de fiscalização, bem como solicitação de nota fiscal e demais documentações para envio do processo a Secretaria de Finanças, para trâmites de pagamento, visando evitar atrasos, bem como garantir o cumprimento de prazos de   pagamento conforme previsão contratual.</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sz w:val="22"/>
          <w:szCs w:val="22"/>
        </w:rPr>
      </w:pPr>
      <w:r>
        <w:rPr>
          <w:rFonts w:ascii="Arial" w:hAnsi="Arial"/>
          <w:sz w:val="22"/>
          <w:szCs w:val="22"/>
        </w:rPr>
      </w:r>
      <w:bookmarkStart w:id="19" w:name="_Hlk1992519701"/>
      <w:bookmarkStart w:id="20" w:name="_Hlk19932315411"/>
      <w:bookmarkStart w:id="21" w:name="_Hlk199251970"/>
      <w:bookmarkStart w:id="22" w:name="_Hlk1993231541"/>
      <w:bookmarkStart w:id="23" w:name="_Hlk1992519701"/>
      <w:bookmarkStart w:id="24" w:name="_Hlk19932315411"/>
      <w:bookmarkStart w:id="25" w:name="_Hlk199251970"/>
      <w:bookmarkStart w:id="26" w:name="_Hlk1993231541"/>
      <w:bookmarkEnd w:id="23"/>
      <w:bookmarkEnd w:id="24"/>
      <w:bookmarkEnd w:id="25"/>
      <w:bookmarkEnd w:id="26"/>
    </w:p>
    <w:p>
      <w:pPr>
        <w:pStyle w:val="Corpodotexto"/>
        <w:jc w:val="both"/>
        <w:rPr/>
      </w:pPr>
      <w:r>
        <w:rPr>
          <w:rFonts w:ascii="Arial" w:hAnsi="Arial"/>
          <w:b/>
          <w:bCs/>
          <w:sz w:val="22"/>
          <w:szCs w:val="22"/>
        </w:rPr>
        <w:t>8. CLÁUSULA OITAVA - DO PRAZO DE EXECUÇÃO DOS SERVIÇOS</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sz w:val="22"/>
          <w:szCs w:val="22"/>
        </w:rPr>
        <w:t xml:space="preserve">8.1. </w:t>
      </w:r>
      <w:r>
        <w:rPr>
          <w:rFonts w:ascii="Arial" w:hAnsi="Arial"/>
          <w:color w:val="000009"/>
          <w:sz w:val="22"/>
          <w:szCs w:val="22"/>
        </w:rPr>
        <w:t xml:space="preserve">O prazo de vigência contratual será de </w:t>
      </w:r>
      <w:r>
        <w:rPr>
          <w:rFonts w:ascii="Arial" w:hAnsi="Arial"/>
          <w:b/>
          <w:bCs/>
          <w:color w:val="000009"/>
          <w:sz w:val="22"/>
          <w:szCs w:val="22"/>
        </w:rPr>
        <w:t>630 (seiscentos e trinta) dias</w:t>
      </w:r>
      <w:r>
        <w:rPr>
          <w:rFonts w:ascii="Arial" w:hAnsi="Arial"/>
          <w:b/>
          <w:color w:val="000009"/>
          <w:sz w:val="22"/>
          <w:szCs w:val="22"/>
        </w:rPr>
        <w:t>,</w:t>
      </w:r>
      <w:r>
        <w:rPr>
          <w:rFonts w:ascii="Arial" w:hAnsi="Arial"/>
          <w:color w:val="000009"/>
          <w:sz w:val="22"/>
          <w:szCs w:val="22"/>
        </w:rPr>
        <w:t xml:space="preserve"> com início no dia posterior ao da publicação do respectivo instrumento no Portal Nacional de Contratações Públicas - PCNP.</w:t>
      </w:r>
    </w:p>
    <w:p>
      <w:pPr>
        <w:pStyle w:val="Corpodotexto"/>
        <w:jc w:val="both"/>
        <w:rPr/>
      </w:pPr>
      <w:r>
        <w:rPr>
          <w:rFonts w:ascii="Arial" w:hAnsi="Arial"/>
          <w:sz w:val="22"/>
          <w:szCs w:val="22"/>
        </w:rPr>
        <w:t xml:space="preserve">8.2. </w:t>
      </w:r>
      <w:r>
        <w:rPr>
          <w:rFonts w:ascii="Arial" w:hAnsi="Arial"/>
          <w:color w:val="000009"/>
          <w:sz w:val="22"/>
          <w:szCs w:val="22"/>
        </w:rPr>
        <w:t xml:space="preserve"> O </w:t>
      </w:r>
      <w:r>
        <w:rPr>
          <w:rFonts w:ascii="Arial" w:hAnsi="Arial"/>
          <w:bCs/>
          <w:color w:val="000009"/>
          <w:sz w:val="22"/>
          <w:szCs w:val="22"/>
        </w:rPr>
        <w:t>prazo de execução dos serviços</w:t>
      </w:r>
      <w:r>
        <w:rPr>
          <w:rFonts w:ascii="Arial" w:hAnsi="Arial"/>
          <w:color w:val="000009"/>
          <w:sz w:val="22"/>
          <w:szCs w:val="22"/>
        </w:rPr>
        <w:t xml:space="preserve"> será de </w:t>
      </w:r>
      <w:r>
        <w:rPr>
          <w:rFonts w:ascii="Arial" w:hAnsi="Arial"/>
          <w:b/>
          <w:bCs/>
          <w:color w:val="000009"/>
          <w:sz w:val="22"/>
          <w:szCs w:val="22"/>
        </w:rPr>
        <w:t xml:space="preserve">570 (quinhentos e quarenta) </w:t>
      </w:r>
      <w:r>
        <w:rPr>
          <w:rFonts w:ascii="Arial" w:hAnsi="Arial"/>
          <w:b/>
          <w:color w:val="000009"/>
          <w:sz w:val="22"/>
          <w:szCs w:val="22"/>
        </w:rPr>
        <w:t>dias</w:t>
      </w:r>
      <w:r>
        <w:rPr>
          <w:rFonts w:ascii="Arial" w:hAnsi="Arial"/>
          <w:color w:val="000009"/>
          <w:sz w:val="22"/>
          <w:szCs w:val="22"/>
        </w:rPr>
        <w:t>, a contar da data de</w:t>
      </w:r>
      <w:r>
        <w:rPr>
          <w:rFonts w:ascii="Arial" w:hAnsi="Arial"/>
          <w:color w:val="000009"/>
          <w:spacing w:val="-53"/>
          <w:sz w:val="22"/>
          <w:szCs w:val="22"/>
        </w:rPr>
        <w:t xml:space="preserve"> </w:t>
      </w:r>
      <w:r>
        <w:rPr>
          <w:rFonts w:ascii="Arial" w:hAnsi="Arial"/>
          <w:color w:val="000009"/>
          <w:sz w:val="22"/>
          <w:szCs w:val="22"/>
        </w:rPr>
        <w:t>recebimento da Ordem de Serviço pela Contratada e de acordo com o cronograma físico-financeiro,</w:t>
      </w:r>
      <w:r>
        <w:rPr>
          <w:rFonts w:ascii="Arial" w:hAnsi="Arial"/>
          <w:color w:val="000009"/>
          <w:spacing w:val="1"/>
          <w:sz w:val="22"/>
          <w:szCs w:val="22"/>
        </w:rPr>
        <w:t xml:space="preserve"> </w:t>
      </w:r>
      <w:r>
        <w:rPr>
          <w:rFonts w:ascii="Arial" w:hAnsi="Arial"/>
          <w:color w:val="000009"/>
          <w:sz w:val="22"/>
          <w:szCs w:val="22"/>
        </w:rPr>
        <w:t>excluindo-se</w:t>
      </w:r>
      <w:r>
        <w:rPr>
          <w:rFonts w:ascii="Arial" w:hAnsi="Arial"/>
          <w:color w:val="000009"/>
          <w:spacing w:val="-2"/>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dia</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início</w:t>
      </w:r>
      <w:r>
        <w:rPr>
          <w:rFonts w:ascii="Arial" w:hAnsi="Arial"/>
          <w:color w:val="000009"/>
          <w:spacing w:val="2"/>
          <w:sz w:val="22"/>
          <w:szCs w:val="22"/>
        </w:rPr>
        <w:t xml:space="preserve"> </w:t>
      </w:r>
      <w:r>
        <w:rPr>
          <w:rFonts w:ascii="Arial" w:hAnsi="Arial"/>
          <w:color w:val="000009"/>
          <w:sz w:val="22"/>
          <w:szCs w:val="22"/>
        </w:rPr>
        <w:t>e</w:t>
      </w:r>
      <w:r>
        <w:rPr>
          <w:rFonts w:ascii="Arial" w:hAnsi="Arial"/>
          <w:color w:val="000009"/>
          <w:spacing w:val="-1"/>
          <w:sz w:val="22"/>
          <w:szCs w:val="22"/>
        </w:rPr>
        <w:t xml:space="preserve"> </w:t>
      </w:r>
      <w:r>
        <w:rPr>
          <w:rFonts w:ascii="Arial" w:hAnsi="Arial"/>
          <w:color w:val="000009"/>
          <w:sz w:val="22"/>
          <w:szCs w:val="22"/>
        </w:rPr>
        <w:t>incluindo-se</w:t>
      </w:r>
      <w:r>
        <w:rPr>
          <w:rFonts w:ascii="Arial" w:hAnsi="Arial"/>
          <w:color w:val="000009"/>
          <w:spacing w:val="-1"/>
          <w:sz w:val="22"/>
          <w:szCs w:val="22"/>
        </w:rPr>
        <w:t xml:space="preserve"> </w:t>
      </w:r>
      <w:r>
        <w:rPr>
          <w:rFonts w:ascii="Arial" w:hAnsi="Arial"/>
          <w:color w:val="000009"/>
          <w:sz w:val="22"/>
          <w:szCs w:val="22"/>
        </w:rPr>
        <w:t>o</w:t>
      </w:r>
      <w:r>
        <w:rPr>
          <w:rFonts w:ascii="Arial" w:hAnsi="Arial"/>
          <w:color w:val="000009"/>
          <w:spacing w:val="-1"/>
          <w:sz w:val="22"/>
          <w:szCs w:val="22"/>
        </w:rPr>
        <w:t xml:space="preserve"> </w:t>
      </w:r>
      <w:r>
        <w:rPr>
          <w:rFonts w:ascii="Arial" w:hAnsi="Arial"/>
          <w:color w:val="000009"/>
          <w:sz w:val="22"/>
          <w:szCs w:val="22"/>
        </w:rPr>
        <w:t>do</w:t>
      </w:r>
      <w:r>
        <w:rPr>
          <w:rFonts w:ascii="Arial" w:hAnsi="Arial"/>
          <w:color w:val="000009"/>
          <w:spacing w:val="-1"/>
          <w:sz w:val="22"/>
          <w:szCs w:val="22"/>
        </w:rPr>
        <w:t xml:space="preserve"> </w:t>
      </w:r>
      <w:r>
        <w:rPr>
          <w:rFonts w:ascii="Arial" w:hAnsi="Arial"/>
          <w:color w:val="000009"/>
          <w:sz w:val="22"/>
          <w:szCs w:val="22"/>
        </w:rPr>
        <w:t>vencimento.</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646" w:leader="none"/>
        </w:tabs>
        <w:ind w:left="0" w:hanging="0"/>
        <w:rPr/>
      </w:pPr>
      <w:r>
        <w:rPr>
          <w:rFonts w:ascii="Arial" w:hAnsi="Arial"/>
          <w:color w:val="000009"/>
        </w:rPr>
        <w:t xml:space="preserve">8.2.1. O prazo acima estabelecido poderá ser prorrogado, desde que justificadamente, pelo prazo necessário a conclusão do objeto, conforme art. 6º, inciso XVII, da Lei nº 14.1333/21. </w:t>
      </w:r>
    </w:p>
    <w:p>
      <w:pPr>
        <w:pStyle w:val="ListParagraph"/>
        <w:tabs>
          <w:tab w:val="clear" w:pos="720"/>
          <w:tab w:val="left" w:pos="646" w:leader="none"/>
        </w:tabs>
        <w:ind w:left="0" w:hanging="0"/>
        <w:rPr>
          <w:rFonts w:ascii="Arial" w:hAnsi="Arial"/>
        </w:rPr>
      </w:pPr>
      <w:r>
        <w:rPr>
          <w:rFonts w:ascii="Arial" w:hAnsi="Arial"/>
        </w:rPr>
      </w:r>
    </w:p>
    <w:p>
      <w:pPr>
        <w:pStyle w:val="Normal"/>
        <w:tabs>
          <w:tab w:val="clear" w:pos="720"/>
          <w:tab w:val="left" w:pos="646" w:leader="none"/>
        </w:tabs>
        <w:rPr/>
      </w:pPr>
      <w:r>
        <w:rPr>
          <w:rFonts w:ascii="Arial" w:hAnsi="Arial"/>
          <w:color w:val="000009"/>
        </w:rPr>
        <w:t xml:space="preserve">8.3. </w:t>
      </w:r>
      <w:r>
        <w:rPr>
          <w:rFonts w:ascii="Arial" w:hAnsi="Arial"/>
          <w:bCs/>
          <w:color w:val="000009"/>
        </w:rPr>
        <w:t>O prazo de vigência do contrato é superior ao de execução dos serviços para:</w:t>
      </w:r>
    </w:p>
    <w:p>
      <w:pPr>
        <w:pStyle w:val="Corpodotexto"/>
        <w:rPr>
          <w:rFonts w:ascii="Arial" w:hAnsi="Arial"/>
          <w:sz w:val="22"/>
          <w:szCs w:val="22"/>
        </w:rPr>
      </w:pPr>
      <w:r>
        <w:rPr>
          <w:rFonts w:ascii="Arial" w:hAnsi="Arial"/>
          <w:sz w:val="22"/>
          <w:szCs w:val="22"/>
        </w:rPr>
      </w:r>
    </w:p>
    <w:p>
      <w:pPr>
        <w:pStyle w:val="ListParagraph"/>
        <w:tabs>
          <w:tab w:val="clear" w:pos="720"/>
          <w:tab w:val="left" w:pos="368" w:leader="none"/>
        </w:tabs>
        <w:ind w:left="0" w:hanging="0"/>
        <w:rPr/>
      </w:pPr>
      <w:r>
        <w:rPr>
          <w:rFonts w:ascii="Arial" w:hAnsi="Arial"/>
          <w:bCs/>
          <w:color w:val="000009"/>
        </w:rPr>
        <w:t>a) Amparar a necessidade de acolher possíveis dilações do prazo da execução da obra, provocados por fatos alheios à vontade da contratada, sem, contudo, alterar o prazo de vigência do contrato;</w:t>
      </w:r>
    </w:p>
    <w:p>
      <w:pPr>
        <w:pStyle w:val="ListParagraph"/>
        <w:tabs>
          <w:tab w:val="clear" w:pos="720"/>
          <w:tab w:val="left" w:pos="375" w:leader="none"/>
        </w:tabs>
        <w:ind w:left="0" w:hanging="0"/>
        <w:rPr>
          <w:rFonts w:ascii="Arial" w:hAnsi="Arial"/>
        </w:rPr>
      </w:pPr>
      <w:r>
        <w:rPr>
          <w:rFonts w:ascii="Arial" w:hAnsi="Arial"/>
        </w:rPr>
      </w:r>
    </w:p>
    <w:p>
      <w:pPr>
        <w:pStyle w:val="ListParagraph"/>
        <w:tabs>
          <w:tab w:val="clear" w:pos="720"/>
          <w:tab w:val="left" w:pos="375" w:leader="none"/>
        </w:tabs>
        <w:ind w:left="0" w:hanging="0"/>
        <w:rPr/>
      </w:pPr>
      <w:r>
        <w:rPr>
          <w:rFonts w:ascii="Arial" w:hAnsi="Arial"/>
          <w:bCs/>
          <w:color w:val="000009"/>
        </w:rPr>
        <w:t>b) Propiciar tempo hábil para que sejam efetuados os pagamentos devidos;</w:t>
      </w:r>
    </w:p>
    <w:p>
      <w:pPr>
        <w:pStyle w:val="ListParagraph"/>
        <w:tabs>
          <w:tab w:val="clear" w:pos="720"/>
          <w:tab w:val="left" w:pos="365" w:leader="none"/>
        </w:tabs>
        <w:ind w:left="0" w:hanging="0"/>
        <w:rPr>
          <w:rFonts w:ascii="Arial" w:hAnsi="Arial"/>
        </w:rPr>
      </w:pPr>
      <w:r>
        <w:rPr>
          <w:rFonts w:ascii="Arial" w:hAnsi="Arial"/>
        </w:rPr>
      </w:r>
    </w:p>
    <w:p>
      <w:pPr>
        <w:pStyle w:val="ListParagraph"/>
        <w:tabs>
          <w:tab w:val="clear" w:pos="720"/>
          <w:tab w:val="left" w:pos="365" w:leader="none"/>
        </w:tabs>
        <w:ind w:left="0" w:hanging="0"/>
        <w:rPr/>
      </w:pPr>
      <w:r>
        <w:rPr>
          <w:rFonts w:ascii="Arial" w:hAnsi="Arial"/>
          <w:bCs/>
          <w:color w:val="000009"/>
        </w:rPr>
        <w:t>c) Englobar os recebimentos provisórios e definitivos.</w:t>
      </w:r>
    </w:p>
    <w:p>
      <w:pPr>
        <w:pStyle w:val="ListParagraph"/>
        <w:tabs>
          <w:tab w:val="clear" w:pos="720"/>
          <w:tab w:val="left" w:pos="365" w:leader="none"/>
        </w:tabs>
        <w:ind w:left="0" w:hanging="0"/>
        <w:rPr>
          <w:rFonts w:ascii="Arial" w:hAnsi="Arial"/>
        </w:rPr>
      </w:pPr>
      <w:r>
        <w:rPr>
          <w:rFonts w:ascii="Arial" w:hAnsi="Arial"/>
        </w:rPr>
      </w:r>
    </w:p>
    <w:p>
      <w:pPr>
        <w:pStyle w:val="Normal"/>
        <w:tabs>
          <w:tab w:val="clear" w:pos="720"/>
          <w:tab w:val="left" w:pos="365" w:leader="none"/>
        </w:tabs>
        <w:jc w:val="both"/>
        <w:rPr/>
      </w:pPr>
      <w:r>
        <w:rPr>
          <w:rFonts w:ascii="Arial" w:hAnsi="Arial"/>
          <w:bCs/>
          <w:color w:val="000009"/>
        </w:rPr>
        <w:t>8.4. O prazo para a assinatura do Contrato é de 05 (cinco) dias úteis, contados a partir da data da convocação para esse fim.</w:t>
      </w:r>
    </w:p>
    <w:p>
      <w:pPr>
        <w:pStyle w:val="ListParagraph"/>
        <w:tabs>
          <w:tab w:val="clear" w:pos="720"/>
          <w:tab w:val="left" w:pos="365" w:leader="none"/>
        </w:tabs>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8.5. O prazo máximo para início dos serviços é de 05 (cinco) dias úteis contados a partir da data de recebimento da Ordem de Serviço pela contratada, expedida pelo contratante, podendo ser prorrogado até o primeiro dia útil seguinte se o vencimento cair em dia em que não houver expediente, se o expediente for encerrado antes da hora normal ou se houver indisponibilidade da comunicação eletrônica, conforme art.183, §2º da Lei 14.133/21.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8.6. A fiscalização fornecerá, junto com a Ordem de Serviço, todos os elementos indispensáveis ao início da execução da obra.</w:t>
      </w:r>
    </w:p>
    <w:p>
      <w:pPr>
        <w:pStyle w:val="ListParagraph"/>
        <w:ind w:left="0" w:hanging="0"/>
        <w:rPr>
          <w:rFonts w:ascii="Arial" w:hAnsi="Arial"/>
          <w:bCs/>
          <w:color w:val="000009"/>
        </w:rPr>
      </w:pPr>
      <w:r>
        <w:rPr>
          <w:rFonts w:ascii="Arial" w:hAnsi="Arial"/>
          <w:bCs/>
          <w:color w:val="000009"/>
        </w:rPr>
      </w:r>
    </w:p>
    <w:p>
      <w:pPr>
        <w:pStyle w:val="Corpodotexto"/>
        <w:jc w:val="both"/>
        <w:rPr/>
      </w:pPr>
      <w:r>
        <w:rPr>
          <w:rFonts w:ascii="Arial" w:hAnsi="Arial"/>
          <w:bCs/>
          <w:color w:val="000009"/>
          <w:sz w:val="22"/>
          <w:szCs w:val="22"/>
        </w:rPr>
        <w:t>8.7. A contratada, julgando insuficientes os elementos fornecidos, deverá solicitar por escrito, explicações e novos dados, dentro do prazo de até 08 (oito) dias na Secretaria Municipal de Obras e Infraestrutura do Município de Aracruz. Nesse caso, o prazo de execução será contado a partir da data de recebimento dos esclarecimentos solicitados, se os mesmos impedirem o início dos serviços.</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8.8. O prazo de vigência será automaticamente prorrogado quando o objeto não for concluído no  período firmado no contrato, devendo ser observado o disposto no art. 111, parágrafo único, I e II, da  Lei 14.1333/2021.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8.8.1. A prorrogação automática deve ser registrada por apostilamento e instruída com a exposição das justificativas e o novo cronograma de execução e desembolso.</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8.9. Qualquer motivo de paralisação dos serviços deverá ser comunicado por escrito ao CONTRATANTE, através de carta/memorando endereçado à Secretaria Municipal de Obras e Infraestrutura, com   antecedência mínima de 15 (quinze) dias, com a devida justificativa, informando os motivos da paralisação, que poderão ou não ser aceitos pelo CONTRATANTE.</w:t>
      </w:r>
    </w:p>
    <w:p>
      <w:pPr>
        <w:pStyle w:val="Corpodotexto"/>
        <w:jc w:val="both"/>
        <w:rPr>
          <w:rFonts w:ascii="Arial" w:hAnsi="Arial"/>
          <w:sz w:val="22"/>
          <w:szCs w:val="22"/>
        </w:rPr>
      </w:pPr>
      <w:r>
        <w:rPr>
          <w:rFonts w:ascii="Arial" w:hAnsi="Arial"/>
          <w:sz w:val="22"/>
          <w:szCs w:val="22"/>
        </w:rPr>
      </w:r>
    </w:p>
    <w:p>
      <w:pPr>
        <w:pStyle w:val="Corpodotexto"/>
        <w:jc w:val="both"/>
        <w:rPr/>
      </w:pPr>
      <w:r>
        <w:rPr>
          <w:rFonts w:ascii="Arial" w:hAnsi="Arial"/>
          <w:bCs/>
          <w:color w:val="000009"/>
          <w:sz w:val="22"/>
          <w:szCs w:val="22"/>
        </w:rPr>
        <w:t>8.10. As Ordens de Paralisação, devidamente justificadas por escrito nos autos, suspendem o curso do prazo de execução do contrato, tornando a correr com a Ordem de Reinício dos Serviços, devendo ser assegurada a publicidade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 conforme art. 115, § 6º da Lei 14.133/2021.</w:t>
      </w:r>
    </w:p>
    <w:p>
      <w:pPr>
        <w:pStyle w:val="Corpodotexto"/>
        <w:jc w:val="both"/>
        <w:rPr>
          <w:rFonts w:ascii="Arial" w:hAnsi="Arial"/>
          <w:bCs/>
          <w:color w:val="000009"/>
          <w:sz w:val="22"/>
          <w:szCs w:val="22"/>
        </w:rPr>
      </w:pPr>
      <w:r>
        <w:rPr>
          <w:rFonts w:ascii="Arial" w:hAnsi="Arial"/>
          <w:bCs/>
          <w:color w:val="000009"/>
          <w:sz w:val="22"/>
          <w:szCs w:val="22"/>
        </w:rPr>
      </w:r>
    </w:p>
    <w:p>
      <w:pPr>
        <w:pStyle w:val="Corpodotexto"/>
        <w:jc w:val="both"/>
        <w:rPr/>
      </w:pPr>
      <w:r>
        <w:rPr>
          <w:rFonts w:ascii="Arial" w:hAnsi="Arial"/>
          <w:bCs/>
          <w:color w:val="000009"/>
          <w:sz w:val="22"/>
          <w:szCs w:val="22"/>
        </w:rPr>
        <w:t>8.11. A prorrogação do prazo de execução, descontados os períodos de paralisação, será permitida, segundo o § 5º do art. 115 da Lei nº 14.133/2021, automaticamente pelo tempo correspondente, anotando tais circunstâncias mediante simples apostila.</w:t>
      </w:r>
    </w:p>
    <w:p>
      <w:pPr>
        <w:pStyle w:val="Normal"/>
        <w:jc w:val="both"/>
        <w:rPr>
          <w:rFonts w:ascii="Arial" w:hAnsi="Arial" w:cs="Arial"/>
        </w:rPr>
      </w:pPr>
      <w:r>
        <w:rPr>
          <w:rFonts w:cs="Arial" w:ascii="Arial" w:hAnsi="Arial"/>
        </w:rPr>
      </w:r>
    </w:p>
    <w:p>
      <w:pPr>
        <w:pStyle w:val="Normal"/>
        <w:jc w:val="both"/>
        <w:rPr/>
      </w:pPr>
      <w:r>
        <w:rPr>
          <w:rFonts w:cs="Arial" w:ascii="Arial" w:hAnsi="Arial"/>
        </w:rPr>
        <w:t xml:space="preserve">8.12. Na contagem dos prazos estabelecidos neste instrumento, excluir-se-á o dia do começo e incluir-se-á o do vencimento, observando o disposto no art. 183 da Lei nº. 14.133/21. </w:t>
      </w:r>
    </w:p>
    <w:p>
      <w:pPr>
        <w:pStyle w:val="Normal"/>
        <w:jc w:val="both"/>
        <w:rPr>
          <w:rFonts w:ascii="Arial" w:hAnsi="Arial" w:cs="Arial"/>
        </w:rPr>
      </w:pPr>
      <w:r>
        <w:rPr>
          <w:rFonts w:cs="Arial" w:ascii="Arial" w:hAnsi="Arial"/>
        </w:rPr>
      </w:r>
    </w:p>
    <w:p>
      <w:pPr>
        <w:pStyle w:val="Corpodotexto"/>
        <w:jc w:val="both"/>
        <w:rPr/>
      </w:pPr>
      <w:r>
        <w:rPr>
          <w:rFonts w:cs="Arial" w:ascii="Arial" w:hAnsi="Arial"/>
          <w:iCs/>
          <w:color w:val="000009"/>
          <w:sz w:val="22"/>
          <w:szCs w:val="22"/>
        </w:rPr>
        <w:t>8.13. O contrato deverá ser divulgado, no prazo de 20 (vinte) dias úteis, contados de sua assinatura, no Portal Nacional de Contratações Públicas (PNCP), nos termos do art. 94 da Lei 14.133/2021.</w:t>
      </w:r>
      <w:bookmarkStart w:id="27" w:name="_Hlk199323184"/>
      <w:bookmarkEnd w:id="27"/>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9. CLÁUSULA</w:t>
      </w:r>
      <w:r>
        <w:rPr>
          <w:spacing w:val="-10"/>
          <w:sz w:val="22"/>
          <w:szCs w:val="22"/>
        </w:rPr>
        <w:t xml:space="preserve"> </w:t>
      </w:r>
      <w:r>
        <w:rPr>
          <w:sz w:val="22"/>
          <w:szCs w:val="22"/>
        </w:rPr>
        <w:t>NONA</w:t>
      </w:r>
      <w:r>
        <w:rPr>
          <w:spacing w:val="-11"/>
          <w:sz w:val="22"/>
          <w:szCs w:val="22"/>
        </w:rPr>
        <w:t xml:space="preserve"> </w:t>
      </w:r>
      <w:r>
        <w:rPr>
          <w:sz w:val="22"/>
          <w:szCs w:val="22"/>
        </w:rPr>
        <w:t>-</w:t>
      </w:r>
      <w:r>
        <w:rPr>
          <w:spacing w:val="-5"/>
          <w:sz w:val="22"/>
          <w:szCs w:val="22"/>
        </w:rPr>
        <w:t xml:space="preserve"> </w:t>
      </w:r>
      <w:r>
        <w:rPr>
          <w:sz w:val="22"/>
          <w:szCs w:val="22"/>
        </w:rPr>
        <w:t>DA</w:t>
      </w:r>
      <w:r>
        <w:rPr>
          <w:spacing w:val="-12"/>
          <w:sz w:val="22"/>
          <w:szCs w:val="22"/>
        </w:rPr>
        <w:t xml:space="preserve"> </w:t>
      </w:r>
      <w:r>
        <w:rPr>
          <w:sz w:val="22"/>
          <w:szCs w:val="22"/>
        </w:rPr>
        <w:t>GARANTIA</w:t>
      </w:r>
      <w:r>
        <w:rPr>
          <w:spacing w:val="-12"/>
          <w:sz w:val="22"/>
          <w:szCs w:val="22"/>
        </w:rPr>
        <w:t xml:space="preserve">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 A CONTRATADA prestará, a seu critério, uma das garantias previstas no artigo 96, § 1º da Lei nº 14.133/21, correspondente a 5% (cinco por cento) do valor do contrato, podendo optar por qualquer das modalidades previstas no dispositivo legal supracitado, a saber: caução em dinheiro OU títulos da dívida pública OU seguro-garantia OU ainda fiança bancária OU titulo de capitalização.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9.1.1. CAUÇÃO EM DINHEIRO OU TÍTULOS DA DÍVIDA PÚBLICA, conforme inciso I do § 1º do art. 96 da Lei 14.133/2021, com as alterações que lhe sucederam.</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9.1.2. FIANÇA BANCÁRIA conforme CARTA DE FIANÇA BANCÁRIA - GARANTIA DE CUMPRIMENTO DO CONTRATO: carta de fiança fornecida por estabelecimento bancário, devidamente registrada em cartório de registro de títulos e documentos, conforme determinado pela Lei 6.015/73, art. 129, acompanhada de: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9.1.2.1. Cópia autenticada do estatuto social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9.1.2.2. Cópia autenticada da assembleia que elegeu a última diretoria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9.1.2.3. Cópia autenticada do instrumento de procuração, em se tratando de procurador do banco;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9.1.2.4.Reconhecimento de firmas das assinaturas constantes da carta de fiança.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9.1.3. SEGURO-GARANTIA – No caso da opção pelo Seguro Garantia, o mesmo será feito mediante entrega da competente apólice, emitida por Seguradora legalmente autorizada pela SUSEP a comercializar seguros, e em nome da Administração contratante, cobrindo, inclusive, os riscos de rescisão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9.1.3.1. A apólice terá sua validade confirmada pelo segurado por meio da consulta ao site https://www2.susep.gov.br/safe/menumercado/regapolices/pesquisa.asp .</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9.1.3.2. O seguro garantia deve prever o pagamento de multas contratuais e contemplar Cobertura de Ações Trabalhistas e Previdenciárias da CONTRATADA em relação à obra. O seguro-garantia deverá prever o atendimento deste edital como condição geral.</w:t>
      </w:r>
    </w:p>
    <w:p>
      <w:pPr>
        <w:pStyle w:val="Normal"/>
        <w:tabs>
          <w:tab w:val="clear" w:pos="720"/>
          <w:tab w:val="left" w:pos="673" w:leader="none"/>
        </w:tabs>
        <w:jc w:val="both"/>
        <w:rPr>
          <w:rFonts w:ascii="Arial" w:hAnsi="Arial"/>
          <w:color w:val="000009"/>
        </w:rPr>
      </w:pPr>
      <w:r>
        <w:rPr>
          <w:rFonts w:ascii="Arial" w:hAnsi="Arial"/>
          <w:color w:val="000009"/>
        </w:rPr>
      </w:r>
    </w:p>
    <w:p>
      <w:pPr>
        <w:pStyle w:val="Normal"/>
        <w:tabs>
          <w:tab w:val="clear" w:pos="720"/>
          <w:tab w:val="left" w:pos="673" w:leader="none"/>
        </w:tabs>
        <w:jc w:val="both"/>
        <w:rPr/>
      </w:pPr>
      <w:r>
        <w:rPr>
          <w:rFonts w:ascii="Arial" w:hAnsi="Arial"/>
          <w:color w:val="000009"/>
        </w:rPr>
        <w:t>9.1.3.3. Na modalidade seguro garantia, em caso de inadimplemento pelo contratado, a seguradora terá a obrigação de assumir a execução e concluir o objeto do contrato e, serão observadas as seguintes: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I. caso a seguradora execute e conclua o objeto do contrato, estará isenta da obrigação de pagar a importância segurada indicada na apólice;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 xml:space="preserve">II. caso a seguradora não assuma a execução do contrato, pagará a integralidade da importância segurada indicada na apólice. </w:t>
      </w:r>
    </w:p>
    <w:p>
      <w:pPr>
        <w:pStyle w:val="Normal"/>
        <w:tabs>
          <w:tab w:val="clear" w:pos="720"/>
          <w:tab w:val="left" w:pos="673" w:leader="none"/>
        </w:tabs>
        <w:jc w:val="both"/>
        <w:rPr/>
      </w:pPr>
      <w:r>
        <w:rPr>
          <w:rFonts w:ascii="Arial" w:hAnsi="Arial"/>
          <w:color w:val="000009"/>
        </w:rPr>
        <w:t>9.2. A garantia deverá permanecer vigente durante todo o prazo de execução contratual, estendendo-se por mais 90 (noventa) dias após o término da vigência do contrato, devendo ser renovada ou reforçada sempre que necessário, de modo a assegurar sua efetividade durante todo o período exigido.</w:t>
      </w:r>
    </w:p>
    <w:p>
      <w:pPr>
        <w:pStyle w:val="Normal"/>
        <w:tabs>
          <w:tab w:val="clear" w:pos="720"/>
          <w:tab w:val="left" w:pos="673" w:leader="none"/>
        </w:tabs>
        <w:jc w:val="both"/>
        <w:rPr>
          <w:rFonts w:ascii="Arial" w:hAnsi="Arial"/>
          <w:color w:val="000009"/>
        </w:rPr>
      </w:pPr>
      <w:r>
        <w:rPr>
          <w:rFonts w:ascii="Arial" w:hAnsi="Arial"/>
          <w:color w:val="000009"/>
        </w:rPr>
      </w:r>
    </w:p>
    <w:p>
      <w:pPr>
        <w:pStyle w:val="Normal"/>
        <w:tabs>
          <w:tab w:val="clear" w:pos="720"/>
          <w:tab w:val="left" w:pos="673" w:leader="none"/>
        </w:tabs>
        <w:jc w:val="both"/>
        <w:rPr/>
      </w:pPr>
      <w:r>
        <w:rPr>
          <w:rFonts w:ascii="Arial" w:hAnsi="Arial"/>
          <w:color w:val="000009"/>
        </w:rPr>
        <w:t>9.2.1. A garantia de execução será liberada quando da assinatura do TERMO DE RECEBIMENTO DEFINITIVO dos serviços.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9.3. Em caso de rescisão do contrato ou de interrupção dos serviços, não será devolvida a garantia, a menos que a rescisão ou paralisação decorram de acordo entre as partes, nos termos da legislação vigente.</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9.4. Ocorrendo prorrogação de prazo ou aumento no valor contratual decorrente de acréscimos ou do reequilíbrio econômico-financeiro, por ocasião da assinatura do Termo Aditivo, deverá a CONTRATADA proceder a renovação e/ou ao reforço da garantia inicial, proporcionalmente ao aumento de valor.</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9.5. A garantia contratual deverá ser apresentada no prazo máximo de 1 (um) mês, contado a partir da data da homologação da licitação, e obrigatoriamente antes da assinatura do contrato.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9.5.1. Em caso de celebração de termo aditivo de prazo e/ou que implique acréscimo do valor contratual, a garantia complementar, deverá ser apresentada no prazo máximo de 10 (dez) dias, contado a partir da assinatura do respectivo aditivo.</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9.5.2. A inobservância do prazo fixado para apresentação ou renovação da garantia acarretará a aplicação de multa de 0,2% (dois décimos por cento) do valor do contrato por dia de atraso, até o máximo de 5% (cinco por cento), o qual poderá ser glosado de pagamentos devidos.</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9.5.3. O atraso superior a 25 (vinte e cinco) dias autoriza a Administração a promover o bloqueio dos pagamentos devidos à CONTRATADA, até o limite de 5% (cinco por cento) do valor anual do contrato, a título de garantia.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9.5.4. A CONTRATADA, a qualquer tempo, poderá substituir o bloqueio efetuado com base nesta cláusula por quaisquer das modalidades de garantia previstas em lei, sem prejuízo da manutenção da multa aplicada.</w:t>
      </w:r>
    </w:p>
    <w:p>
      <w:pPr>
        <w:pStyle w:val="Normal"/>
        <w:tabs>
          <w:tab w:val="clear" w:pos="720"/>
          <w:tab w:val="left" w:pos="673" w:leader="none"/>
        </w:tabs>
        <w:jc w:val="both"/>
        <w:rPr>
          <w:rFonts w:ascii="Arial" w:hAnsi="Arial"/>
        </w:rPr>
      </w:pPr>
      <w:r>
        <w:rPr>
          <w:rFonts w:ascii="Arial" w:hAnsi="Arial"/>
        </w:rPr>
      </w:r>
    </w:p>
    <w:p>
      <w:pPr>
        <w:pStyle w:val="Normal"/>
        <w:tabs>
          <w:tab w:val="clear" w:pos="720"/>
          <w:tab w:val="left" w:pos="673" w:leader="none"/>
        </w:tabs>
        <w:jc w:val="both"/>
        <w:rPr/>
      </w:pPr>
      <w:r>
        <w:rPr>
          <w:rFonts w:ascii="Arial" w:hAnsi="Arial"/>
          <w:color w:val="000009"/>
        </w:rPr>
        <w:t>9.6. Será exigida garantia adicional da CONTRATADA se a proposta for inferior a 85% (oitenta e cinco por cento) do valor orçado pela Administração, equivalente à diferença entre este último e o valor da proposta, sem prejuízo das demais garantias exigíveis, devendo ser apresentada no ato da assinatura do contrato.</w:t>
      </w:r>
      <w:bookmarkStart w:id="28" w:name="_Hlk199323207"/>
      <w:bookmarkEnd w:id="28"/>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10. CLÁUSULA</w:t>
      </w:r>
      <w:r>
        <w:rPr>
          <w:spacing w:val="-9"/>
          <w:sz w:val="22"/>
          <w:szCs w:val="22"/>
        </w:rPr>
        <w:t xml:space="preserve"> </w:t>
      </w:r>
      <w:r>
        <w:rPr>
          <w:sz w:val="22"/>
          <w:szCs w:val="22"/>
        </w:rPr>
        <w:t>DÉCIMA</w:t>
      </w:r>
      <w:r>
        <w:rPr>
          <w:spacing w:val="-10"/>
          <w:sz w:val="22"/>
          <w:szCs w:val="22"/>
        </w:rPr>
        <w:t xml:space="preserve"> </w:t>
      </w:r>
      <w:r>
        <w:rPr>
          <w:sz w:val="22"/>
          <w:szCs w:val="22"/>
        </w:rPr>
        <w:t>–</w:t>
      </w:r>
      <w:r>
        <w:rPr>
          <w:spacing w:val="-5"/>
          <w:sz w:val="22"/>
          <w:szCs w:val="22"/>
        </w:rPr>
        <w:t xml:space="preserve"> </w:t>
      </w:r>
      <w:r>
        <w:rPr>
          <w:sz w:val="22"/>
          <w:szCs w:val="22"/>
        </w:rPr>
        <w:t>DAS</w:t>
      </w:r>
      <w:r>
        <w:rPr>
          <w:spacing w:val="-5"/>
          <w:sz w:val="22"/>
          <w:szCs w:val="22"/>
        </w:rPr>
        <w:t xml:space="preserve"> OBRIGAÇÕES</w:t>
      </w:r>
      <w:r>
        <w:rPr>
          <w:spacing w:val="-4"/>
          <w:sz w:val="22"/>
          <w:szCs w:val="22"/>
        </w:rPr>
        <w:t xml:space="preserve"> </w:t>
      </w:r>
      <w:r>
        <w:rPr>
          <w:sz w:val="22"/>
          <w:szCs w:val="22"/>
        </w:rPr>
        <w:t>DAS</w:t>
      </w:r>
      <w:r>
        <w:rPr>
          <w:spacing w:val="-3"/>
          <w:sz w:val="22"/>
          <w:szCs w:val="22"/>
        </w:rPr>
        <w:t xml:space="preserve"> </w:t>
      </w:r>
      <w:r>
        <w:rPr>
          <w:sz w:val="22"/>
          <w:szCs w:val="22"/>
        </w:rPr>
        <w:t>PARTES</w:t>
      </w:r>
    </w:p>
    <w:p>
      <w:pPr>
        <w:pStyle w:val="Corpodotexto"/>
        <w:rPr>
          <w:rFonts w:ascii="Arial" w:hAnsi="Arial"/>
          <w:b/>
          <w:b/>
          <w:sz w:val="22"/>
          <w:szCs w:val="22"/>
        </w:rPr>
      </w:pPr>
      <w:r>
        <w:rPr>
          <w:rFonts w:ascii="Arial" w:hAnsi="Arial"/>
          <w:b/>
          <w:sz w:val="22"/>
          <w:szCs w:val="22"/>
        </w:rPr>
      </w:r>
    </w:p>
    <w:p>
      <w:pPr>
        <w:pStyle w:val="ListParagraph"/>
        <w:tabs>
          <w:tab w:val="clear" w:pos="720"/>
          <w:tab w:val="left" w:pos="642" w:leader="none"/>
        </w:tabs>
        <w:ind w:left="0" w:hanging="0"/>
        <w:rPr/>
      </w:pPr>
      <w:r>
        <w:rPr>
          <w:rFonts w:ascii="Arial" w:hAnsi="Arial"/>
          <w:b/>
          <w:bCs/>
          <w:color w:val="000009"/>
        </w:rPr>
        <w:t>10.1. OBRIGAÇÕES DA CONTRATANTE</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10.1.1. Alocar os recursos orçamentários e financeiros necessários à execução dos serviços, pagando à CONTRATADA conforme as condições estabelecidas neste Projeto Básico.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10.1.2. Atestar e receber os serviços efetivamente executados, de acordo com as cláusulas deste documento.</w:t>
      </w:r>
    </w:p>
    <w:p>
      <w:pPr>
        <w:pStyle w:val="Ttulo1"/>
        <w:tabs>
          <w:tab w:val="clear" w:pos="720"/>
          <w:tab w:val="left" w:pos="476" w:leader="none"/>
        </w:tabs>
        <w:ind w:left="0" w:hanging="0"/>
        <w:jc w:val="both"/>
        <w:rPr/>
      </w:pPr>
      <w:r>
        <w:rPr/>
      </w:r>
    </w:p>
    <w:p>
      <w:pPr>
        <w:pStyle w:val="Ttulo1"/>
        <w:tabs>
          <w:tab w:val="clear" w:pos="720"/>
          <w:tab w:val="left" w:pos="476" w:leader="none"/>
        </w:tabs>
        <w:ind w:left="0" w:hanging="0"/>
        <w:jc w:val="both"/>
        <w:rPr/>
      </w:pPr>
      <w:r>
        <w:rPr>
          <w:b w:val="false"/>
          <w:bCs w:val="false"/>
          <w:spacing w:val="-2"/>
          <w:sz w:val="22"/>
          <w:szCs w:val="22"/>
        </w:rPr>
        <w:t>10.1.3. Fornecer por escrito as informações necessárias para o desenvolvimento dos serviços objeto do contrato.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10.1.4. Notificar a CONTRATADA por escrito da ocorrência de eventuais imperfeições, falhas ou irregularidades constatadas no curso da execução dos serviços, fixando prazo para a sua correção, certificando-se de que as soluções por ela propostas sejam as mais adequadas.</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10.1.5. Disponibilizar os locais onde serão executados os serviços, bem como, as condições necessárias para a sua execução.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color w:val="000009"/>
          <w:spacing w:val="-2"/>
          <w:sz w:val="22"/>
          <w:szCs w:val="22"/>
        </w:rPr>
        <w:t>10.1.6. O CONTRATANTE solicitará aos técnicos da CONTRATADA a exibição de documentação de identificação pessoal, quando estes se apresentarem para realização dos serviços abrangidos nesta contratação.</w:t>
      </w:r>
    </w:p>
    <w:p>
      <w:pPr>
        <w:pStyle w:val="ListParagraph"/>
        <w:tabs>
          <w:tab w:val="clear" w:pos="720"/>
          <w:tab w:val="left" w:pos="642" w:leader="none"/>
        </w:tabs>
        <w:ind w:left="0" w:hanging="0"/>
        <w:rPr>
          <w:rFonts w:ascii="Arial" w:hAnsi="Arial"/>
          <w:b/>
          <w:b/>
          <w:bCs/>
          <w:color w:val="000009"/>
        </w:rPr>
      </w:pPr>
      <w:r>
        <w:rPr>
          <w:rFonts w:ascii="Arial" w:hAnsi="Arial"/>
          <w:b/>
          <w:bCs/>
          <w:color w:val="000009"/>
        </w:rPr>
      </w:r>
    </w:p>
    <w:p>
      <w:pPr>
        <w:pStyle w:val="ListParagraph"/>
        <w:tabs>
          <w:tab w:val="clear" w:pos="720"/>
          <w:tab w:val="left" w:pos="642" w:leader="none"/>
        </w:tabs>
        <w:ind w:left="0" w:hanging="0"/>
        <w:rPr/>
      </w:pPr>
      <w:r>
        <w:rPr>
          <w:rFonts w:ascii="Arial" w:hAnsi="Arial"/>
          <w:b/>
          <w:bCs/>
          <w:color w:val="000009"/>
        </w:rPr>
        <w:t>10.2 OBRIGAÇÕES DA CONTRATADA</w:t>
      </w:r>
    </w:p>
    <w:p>
      <w:pPr>
        <w:pStyle w:val="ListParagraph"/>
        <w:tabs>
          <w:tab w:val="clear" w:pos="720"/>
          <w:tab w:val="left" w:pos="642" w:leader="none"/>
        </w:tabs>
        <w:ind w:left="0" w:hanging="0"/>
        <w:rPr>
          <w:rFonts w:ascii="Arial" w:hAnsi="Arial"/>
          <w:b/>
          <w:b/>
          <w:bCs/>
          <w:color w:val="000009"/>
        </w:rPr>
      </w:pPr>
      <w:r>
        <w:rPr>
          <w:rFonts w:ascii="Arial" w:hAnsi="Arial"/>
          <w:b/>
          <w:bCs/>
          <w:color w:val="000009"/>
        </w:rPr>
      </w:r>
    </w:p>
    <w:p>
      <w:pPr>
        <w:pStyle w:val="ListParagraph"/>
        <w:tabs>
          <w:tab w:val="clear" w:pos="720"/>
          <w:tab w:val="left" w:pos="682" w:leader="none"/>
        </w:tabs>
        <w:ind w:left="0" w:hanging="0"/>
        <w:rPr/>
      </w:pPr>
      <w:r>
        <w:rPr>
          <w:rFonts w:ascii="Arial" w:hAnsi="Arial"/>
        </w:rPr>
        <w:t>10.2.1. A CONTRATADA obrigar-se-á a desenvolver os serviços objeto deste Projeto Básico sempre em regime de entendimento com a fiscalização, dispondo esta de amplos poderes para atuar no sentido do fiel cumprimento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 A empresa CONTRATADA é responsável em inscrever a Obra no Cadastro Nacional de Obras – CNO da Receita Federal do Brasil em até 30 (trinta) dias contados do início das atividades, em conformidade com a Instrução Normativa RFB nº 2061, de 20 de dezembro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10.2.3. A CONTRATADA é responsável pelos encargos trabalhistas, previdenciários, fiscais ou comerciais da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10.2.4. A inadimplência da CONTRATADA com referência aos encargos trabalhistas, fiscais e comerciais não transferem à Administração Pública a responsabilidade por seu pagamento, nem poderá onerar o objeto do Contrato ou restringir a regularização e o uso do serviço.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10.2.5. Cabe à CONTRATADA permitir e facilitar a fiscalização, em qualquer dia e hora devendo prestar todos os informes e esclarecimentos solicitados.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10.2.6. A empresa CONTRATADA obriga-se a manter ART – Anotação de Responsabilidade Técnica e/ou RRT – Registro de Responsabilidade Técnica, durante toda 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10.2.7. Obter junto aos órgãos competentes, conforme o caso, as licenças necessárias e demais documentos e autorizações exigíveis, na forma da legislação aplicável.</w:t>
      </w:r>
    </w:p>
    <w:p>
      <w:pPr>
        <w:pStyle w:val="ListParagraph"/>
        <w:tabs>
          <w:tab w:val="clear" w:pos="720"/>
          <w:tab w:val="left" w:pos="682" w:leader="none"/>
        </w:tabs>
        <w:ind w:left="0" w:hanging="0"/>
        <w:rPr>
          <w:rFonts w:ascii="Arial" w:hAnsi="Arial"/>
        </w:rPr>
      </w:pPr>
      <w:r>
        <w:rPr>
          <w:rFonts w:ascii="Arial" w:hAnsi="Arial"/>
        </w:rPr>
      </w:r>
    </w:p>
    <w:p>
      <w:pPr>
        <w:pStyle w:val="Normal"/>
        <w:tabs>
          <w:tab w:val="clear" w:pos="720"/>
          <w:tab w:val="left" w:pos="682" w:leader="none"/>
        </w:tabs>
        <w:jc w:val="both"/>
        <w:rPr/>
      </w:pPr>
      <w:r>
        <w:rPr>
          <w:rFonts w:ascii="Arial" w:hAnsi="Arial"/>
        </w:rPr>
        <w:t>10.2.8. A CONTRATADA deverá manter os locais, onde forem realizados os serviços, sinalizados e isolados do público por placas, faixas, fitas, tapume, tela dentre outros meios com o fim de evitar riscos de acidentes aos usuários locais e ao pessoal da empresa, se for o caso.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10.2.9. A Contratada é responsável pelos danos causados diretamente à Administração ou a terceiros, decorrentes de sua culpa ou dolo na execução do Contrato, não excluindo ou reduzindo esta responsabilidade à fiscalização.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10.2.10. Arcar com o ônus decorrente de eventual equívoco no dimensionamento dos quantitativos de sua proposta, inclusive quanto aos custos variáveis decorrentes de fatores futuros e incertos.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10.2.11. Obriga-se a Contratada a m</w:t>
      </w:r>
      <w:r>
        <w:rPr>
          <w:rFonts w:cs="Arial" w:ascii="Arial" w:hAnsi="Arial"/>
        </w:rPr>
        <w:t>anter durante toda a vigência do contrato, em compatibilidade com as obrigações assumidas, todas as condições de habilitação e qualificação exigidas na licitação.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10.2.12. Manter Responsável técnico preposto aceito pela CONTRATANTE nos horários e locais de prestação de serviço para representá-la na execução do contrato com capacidade para tomar decisões compatíveis com os compromissos assumidos.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10.2.13. Não permitir a utilização de qualquer trabalho do menor de dezesseis anos, exceto na condição de aprendiz para os maiores de quatorze anos; nem permitir a utilização do trabalho do menor de dezoito anos em trabalho noturno, perigoso ou insalubre.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10.2.14. Apresentar, juntamente com a Nota Fiscal e/ou Fatura de Serviços os documentos comprobatórios do pagamento das obrigações trabalhistas, previdenciários, FGTS e fiscais.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10.2.15. Destinar pessoal suficiente para o desenvolvimento dos trabalhos a serem realizados, devidamente equipados com EPI (Equipamentos de Proteção Individual) e uniformizados.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10.2.16. Comunicar ao Fiscal do contrato, no prazo de 24 (vinte e quatro) horas, qualquer ocorrência anormal ou acidente que se verifique no local dos serviços.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10.2.17. Assegurar aos seus trabalhadores ambiente de trabalho, inclusive equipamentos e instalações, em condições adequadas ao cumprimento das normas de saúde, segurança e bem-estar no trabalho.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10.2.18. A CONTRATADA deverá manter mão de obra especializada, supervisão técnica e administrativa, veículos, equipamentos e ferramentas, bem como de todo material necessário à execução dos serviços demandados, atendendo a prioridade definida nos Projetos e no presente Termo de Referência, de modo a viabilizar o cumprimento dos prazos de execução, com a qualidade determinada pela CONTRATANTE.</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10.2.19. Paralisar, por determinação da CONTRATANTE, qualquer atividade que não esteja sendo executada de acordo com a boa técnica ou que ponha em risco a segurança de pessoas ou bens de terceiros.</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 xml:space="preserve">10.2.20. Promover a guarda, manutenção e vigilância de materiais, ferramentas, e tudo o que for necessário à execução dos serviços, durante a vigência do contrato. </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10.2.21. Conduzir os trabalhos com estrita observância às normas da legislação pertinente, cumprindo as determinações dos Poderes Públicos, mantendo sempre limpo o local dos serviços e nas melhores condições de segurança, higiene e disciplina.</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10.2.22. Prestar os serviços dentro dos parâmetros e rotinas estabelecidos, fornecendo todos os materiais, equipamentos e utensílios em quantidade, qualidade e tecnologia adequadas, com a observância às recomendações aceitas pela boa técnica, normas e legislação.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10.2.23. Caso a CONTRATADA não cumpra com cronograma proposto, a mesma deverá apresentar uma justificativa expondo os motivos pelo qual não cumpriu com o cronograma, e apresentar novo cronograma para que possa ser analisado.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10.2.24. Guardar sigilo sobre todas as informações obtidas em decorrência do cumprimento do contrato.</w:t>
      </w:r>
    </w:p>
    <w:p>
      <w:pPr>
        <w:pStyle w:val="ListParagraph"/>
        <w:tabs>
          <w:tab w:val="clear" w:pos="720"/>
          <w:tab w:val="left" w:pos="682" w:leader="none"/>
        </w:tabs>
        <w:ind w:left="0" w:hanging="0"/>
        <w:rPr/>
      </w:pPr>
      <w:r>
        <w:rPr>
          <w:rFonts w:ascii="Arial" w:hAnsi="Arial"/>
        </w:rPr>
        <w:t>10.2.25. Cabe ainda à contratada atender aos procedimentos para Controle Ambiental na execução do contrato.</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10.2.26. Não contratar, durante a vigência do contrato, cônjuge, companheiro ou parente em linha reta, colateral ou por afinidade, até o terceiro grau, de dirigente do contratante ou do fiscal ou gestor do contrato, nos termos do artigo 48, parágrafo único, da Lei no 14.133, de 2021;</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10.2.27.Cumprir, durante todo o período de execução do contrato, a reserva de cargos prevista em lei para pessoa com deficiência, para reabilitado da Previdência Social ou para aprendiz, bem como as reservas de cargos previstas na legislação (art. 116);</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10.2.28. Comprovar, sempre que solicitado pelo fiscal do contrato e no prazo por este fixado, o cumprimento das reservas de cargos mencionadas no inciso anterior, mediante apresentação da relação dos empregados que ocupam as respectivas vagas e demais documentos comprobatórios exigidos pela legislação aplicável.</w:t>
      </w:r>
    </w:p>
    <w:p>
      <w:pPr>
        <w:pStyle w:val="ListParagraph"/>
        <w:tabs>
          <w:tab w:val="clear" w:pos="720"/>
          <w:tab w:val="left" w:pos="682" w:leader="none"/>
        </w:tabs>
        <w:ind w:left="0" w:hanging="0"/>
        <w:rPr>
          <w:rFonts w:ascii="Arial" w:hAnsi="Arial"/>
        </w:rPr>
      </w:pPr>
      <w:r>
        <w:rPr>
          <w:rFonts w:ascii="Arial" w:hAnsi="Arial"/>
        </w:rPr>
      </w:r>
    </w:p>
    <w:p>
      <w:pPr>
        <w:pStyle w:val="ListParagraph"/>
        <w:tabs>
          <w:tab w:val="clear" w:pos="720"/>
          <w:tab w:val="left" w:pos="682" w:leader="none"/>
        </w:tabs>
        <w:ind w:left="0" w:hanging="0"/>
        <w:rPr/>
      </w:pPr>
      <w:r>
        <w:rPr>
          <w:rFonts w:ascii="Arial" w:hAnsi="Arial"/>
        </w:rPr>
        <w:t>10.2.29. Em caso de permissão de subcontratação, atender ao que dispõe o ITEM 11.</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11. CLÁUSULA</w:t>
      </w:r>
      <w:r>
        <w:rPr>
          <w:spacing w:val="-7"/>
          <w:sz w:val="22"/>
          <w:szCs w:val="22"/>
        </w:rPr>
        <w:t xml:space="preserve"> </w:t>
      </w:r>
      <w:r>
        <w:rPr>
          <w:sz w:val="22"/>
          <w:szCs w:val="22"/>
        </w:rPr>
        <w:t>DÉCIMA</w:t>
      </w:r>
      <w:r>
        <w:rPr>
          <w:spacing w:val="-9"/>
          <w:sz w:val="22"/>
          <w:szCs w:val="22"/>
        </w:rPr>
        <w:t xml:space="preserve"> PRIMEIRA –</w:t>
      </w:r>
      <w:r>
        <w:rPr>
          <w:spacing w:val="-1"/>
          <w:sz w:val="22"/>
          <w:szCs w:val="22"/>
        </w:rPr>
        <w:t xml:space="preserve"> SUBCONTRATAÇÃO</w:t>
      </w:r>
    </w:p>
    <w:p>
      <w:pPr>
        <w:pStyle w:val="Ttulo1"/>
        <w:ind w:left="0" w:hanging="0"/>
        <w:rPr>
          <w:sz w:val="22"/>
          <w:szCs w:val="22"/>
        </w:rPr>
      </w:pPr>
      <w:r>
        <w:rPr>
          <w:sz w:val="22"/>
          <w:szCs w:val="22"/>
        </w:rPr>
      </w:r>
    </w:p>
    <w:p>
      <w:pPr>
        <w:pStyle w:val="Ttulo1"/>
        <w:tabs>
          <w:tab w:val="clear" w:pos="720"/>
          <w:tab w:val="left" w:pos="476" w:leader="none"/>
        </w:tabs>
        <w:ind w:left="0" w:hanging="0"/>
        <w:jc w:val="both"/>
        <w:rPr/>
      </w:pPr>
      <w:r>
        <w:rPr>
          <w:b w:val="false"/>
          <w:bCs w:val="false"/>
          <w:spacing w:val="-2"/>
          <w:sz w:val="22"/>
          <w:szCs w:val="22"/>
        </w:rPr>
        <w:t>11.1.</w:t>
      </w:r>
      <w:r>
        <w:rPr>
          <w:sz w:val="22"/>
          <w:szCs w:val="22"/>
        </w:rPr>
        <w:t xml:space="preserve"> </w:t>
      </w:r>
      <w:r>
        <w:rPr>
          <w:b w:val="false"/>
          <w:bCs w:val="false"/>
          <w:spacing w:val="-2"/>
          <w:sz w:val="22"/>
          <w:szCs w:val="22"/>
        </w:rPr>
        <w:t>Será admitida a subcontratação parcial da obra ou do serviço, se previamente aprovado pela FISCALIZAÇÃO, e que não constituem o escopo principal do objeto, restrita, contudo, ao percentual de 5% (cinco por cento) do orçamento, devendo a empresa indicada pela licitante CONTRATADA, antes do início da realização do serviço, apresentar a documentação que comprove sua habilitação jurídica, regularidade fiscal e qualificação técnica necessária.</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11.2. O percentual de 5% foi definido como suficiente para permitir a contratação pontual de serviços acessórios ou de caráter especializado de menor expressão financeira, sem, contudo, transferir parcelas de alta complexidade ou relevância, que devem ser integralmente executadas pela empresa contratada.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11.3. Tal medida visa resguardar o interesse público, prevenindo riscos de descumprimento contratual, reduzindo a dependência de terceiros e garantindo que a empresa vencedora detenha efetiva capacidade técnica e operacional para executar diretamente a maior parte do objeto licitado.</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11.4. Em qualquer hipótese de subcontratação, permanece a responsabilidade integral da CONTRATADA pela perfeita execução contratual, cabendo-lhe realizar supervisão e coordenação das atividades da subcontratada, bem como responder perante o CONTRATANTE pelo rigoroso cumprimento das obrigações contratuais correspondentes ao objeto da subcontratação.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11.5. A CONTRATADA apresentará à Administração documentação que comprove a capacidade técnica do subcontratado, que será avaliada e juntada aos autos do processo correspondente.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11.6. A CONTRATADA não poderá ceder ou subcontratar os serviços objeto deste Termo, sem prévia autorização, por escrito, da Secretaria de Obras, ressalvando-se que quando concedida a subcontratação, obriga-se a CONTRATADA a celebrar o respectivo Contrato com a inteira obediência aos termos do Contrato firmado com o CONTRATANTE e sob sua inteira responsabilidade, reservando ainda ao CONTRATANTE o direito de, a qualquer tempo, dar por terminado o subcontrato, sem que caiba à subcontratada o direito de reclamar indenização ou prejuízo de qualquer espécie. </w:t>
      </w:r>
    </w:p>
    <w:p>
      <w:pPr>
        <w:pStyle w:val="Ttulo1"/>
        <w:tabs>
          <w:tab w:val="clear" w:pos="720"/>
          <w:tab w:val="left" w:pos="476" w:leader="none"/>
        </w:tabs>
        <w:ind w:left="0" w:hanging="0"/>
        <w:jc w:val="both"/>
        <w:rPr>
          <w:sz w:val="22"/>
          <w:szCs w:val="22"/>
        </w:rPr>
      </w:pPr>
      <w:r>
        <w:rPr>
          <w:sz w:val="22"/>
          <w:szCs w:val="22"/>
        </w:rPr>
      </w:r>
    </w:p>
    <w:p>
      <w:pPr>
        <w:pStyle w:val="Ttulo1"/>
        <w:tabs>
          <w:tab w:val="clear" w:pos="720"/>
          <w:tab w:val="left" w:pos="476" w:leader="none"/>
        </w:tabs>
        <w:ind w:left="0" w:hanging="0"/>
        <w:jc w:val="both"/>
        <w:rPr/>
      </w:pPr>
      <w:r>
        <w:rPr>
          <w:b w:val="false"/>
          <w:bCs w:val="false"/>
          <w:spacing w:val="-2"/>
          <w:sz w:val="22"/>
          <w:szCs w:val="22"/>
        </w:rPr>
        <w:t xml:space="preserve">11.7. </w:t>
      </w:r>
      <w:bookmarkStart w:id="29" w:name="_Hlk199318810"/>
      <w:bookmarkEnd w:id="29"/>
      <w:r>
        <w:rPr>
          <w:b w:val="false"/>
          <w:bCs w:val="false"/>
          <w:spacing w:val="-2"/>
          <w:sz w:val="22"/>
          <w:szCs w:val="22"/>
        </w:rPr>
        <w:t xml:space="preserve">Vale ressaltar, que as subcontratadas deverão comprovar regularidade fiscal e previdenciária e preencher os mesmos requisitos de qualificação técnica exigidos no Edital.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11.8. Será vedada, nos termos do art. 122, §3º da Lei 14.133/21,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tabs>
          <w:tab w:val="clear" w:pos="720"/>
          <w:tab w:val="left" w:pos="476" w:leader="none"/>
        </w:tabs>
        <w:ind w:left="0" w:hanging="0"/>
        <w:jc w:val="both"/>
        <w:rPr/>
      </w:pPr>
      <w:r>
        <w:rPr>
          <w:b w:val="false"/>
          <w:bCs w:val="false"/>
          <w:spacing w:val="-2"/>
          <w:sz w:val="22"/>
          <w:szCs w:val="22"/>
        </w:rPr>
        <w:t xml:space="preserve">11.9.  Não serão realizados pagamentos diretamente à subcontratadas. </w:t>
      </w:r>
    </w:p>
    <w:p>
      <w:pPr>
        <w:pStyle w:val="Ttulo1"/>
        <w:tabs>
          <w:tab w:val="clear" w:pos="720"/>
          <w:tab w:val="left" w:pos="476" w:leader="none"/>
        </w:tabs>
        <w:ind w:left="0" w:hanging="0"/>
        <w:jc w:val="both"/>
        <w:rPr>
          <w:b w:val="false"/>
          <w:b w:val="false"/>
          <w:bCs w:val="false"/>
          <w:spacing w:val="-2"/>
          <w:sz w:val="22"/>
          <w:szCs w:val="22"/>
        </w:rPr>
      </w:pPr>
      <w:r>
        <w:rPr>
          <w:b w:val="false"/>
          <w:bCs w:val="false"/>
          <w:spacing w:val="-2"/>
          <w:sz w:val="22"/>
          <w:szCs w:val="22"/>
        </w:rPr>
      </w:r>
    </w:p>
    <w:p>
      <w:pPr>
        <w:pStyle w:val="Ttulo1"/>
        <w:ind w:left="0" w:hanging="0"/>
        <w:rPr>
          <w:sz w:val="22"/>
          <w:szCs w:val="22"/>
        </w:rPr>
      </w:pPr>
      <w:r>
        <w:rPr>
          <w:sz w:val="22"/>
          <w:szCs w:val="22"/>
        </w:rPr>
      </w:r>
    </w:p>
    <w:p>
      <w:pPr>
        <w:pStyle w:val="Ttulo1"/>
        <w:ind w:left="0" w:hanging="0"/>
        <w:rPr/>
      </w:pPr>
      <w:r>
        <w:rPr>
          <w:sz w:val="22"/>
          <w:szCs w:val="22"/>
        </w:rPr>
        <w:t>12. CLÁUSULA</w:t>
      </w:r>
      <w:r>
        <w:rPr>
          <w:spacing w:val="-8"/>
          <w:sz w:val="22"/>
          <w:szCs w:val="22"/>
        </w:rPr>
        <w:t xml:space="preserve"> </w:t>
      </w:r>
      <w:r>
        <w:rPr>
          <w:sz w:val="22"/>
          <w:szCs w:val="22"/>
        </w:rPr>
        <w:t>DÉCIMA</w:t>
      </w:r>
      <w:r>
        <w:rPr>
          <w:spacing w:val="-9"/>
          <w:sz w:val="22"/>
          <w:szCs w:val="22"/>
        </w:rPr>
        <w:t xml:space="preserve"> </w:t>
      </w:r>
      <w:r>
        <w:rPr>
          <w:sz w:val="22"/>
          <w:szCs w:val="22"/>
        </w:rPr>
        <w:t>SEGUNDA</w:t>
      </w:r>
      <w:r>
        <w:rPr>
          <w:spacing w:val="-7"/>
          <w:sz w:val="22"/>
          <w:szCs w:val="22"/>
        </w:rPr>
        <w:t xml:space="preserve"> </w:t>
      </w:r>
      <w:r>
        <w:rPr>
          <w:sz w:val="22"/>
          <w:szCs w:val="22"/>
        </w:rPr>
        <w:t>–</w:t>
      </w:r>
      <w:r>
        <w:rPr>
          <w:spacing w:val="-4"/>
          <w:sz w:val="22"/>
          <w:szCs w:val="22"/>
        </w:rPr>
        <w:t xml:space="preserve"> MODELO DE GESTÃO DO CONTRATO</w:t>
      </w:r>
    </w:p>
    <w:p>
      <w:pPr>
        <w:pStyle w:val="Ttulo1"/>
        <w:ind w:left="0" w:hanging="0"/>
        <w:jc w:val="both"/>
        <w:rPr>
          <w:sz w:val="22"/>
          <w:szCs w:val="22"/>
        </w:rPr>
      </w:pPr>
      <w:r>
        <w:rPr>
          <w:sz w:val="22"/>
          <w:szCs w:val="22"/>
        </w:rPr>
      </w:r>
    </w:p>
    <w:p>
      <w:pPr>
        <w:pStyle w:val="Ttulo1"/>
        <w:ind w:left="0" w:hanging="0"/>
        <w:jc w:val="both"/>
        <w:rPr/>
      </w:pPr>
      <w:r>
        <w:rPr>
          <w:b w:val="false"/>
          <w:bCs w:val="false"/>
          <w:spacing w:val="-4"/>
          <w:sz w:val="22"/>
          <w:szCs w:val="22"/>
        </w:rPr>
        <w:t xml:space="preserve">12.1. A execução do contrato será objeto de acompanhamento, controle, fiscalização e avaliação por representante da Contratante para este fim especialmente designado.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12.2. O acompanhamento e fiscalização da execução do contrato consistem na verificação da conformidade da obra ou do serviço e da alocação dos recursos necessários, de forma a assegurar o perfeito cumprimento do ajuste, devendo ser exercido por um ou mais representantes da CONTRATANTE, especialmente designados.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12.3. A fiscalização atuará desde o início dos trabalhos até o recebimento definitivo do serviço e será exercida por representante da CONTRATANTE, e não exclui nem reduz a responsabilidade da CONTRATADA, inclusive perante terceiros, por qualquer irregularidade, de acordo com o art. 120 da Lei nº 14.133/2021.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12.4. A fiscalização se efetivará no local dos serviços por técnicos da Prefeitura Municipal de Aracruz/ES, previamente designados, que poderão ser assessorados por profissionais ou empresas especializadas expressamente contratadas para este fim, na forma dos arts. 117 e 140 da Lei 14.133/2021.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12.5. O representante da CONTRATANTE deverá promover o registro das ocorrências verificadas, adotando providências necessárias ao fiel cumprimento das cláusulas contratuais, conforme o disposto no arts. 125 e 126 da Lei 14.133/2021.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12.6. Conforme art. 5º da Lei Municipal 4.606/2023, os gestores e fiscais de contratos, ou os respectivos substitutos, serão representantes da Administração designados pela autoridade máxima do órgão ou da entidade, ou a quem as normas de organização administrativa indicarem, para acompanhar e fiscalizar a execução do contrato.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12.7. As atividades de gestão e fiscalização da execução do contrato competem ao gestor do contrato, auxiliado pela fiscalização técnica e administrativa, de acordo com as disposições do art. 15 da Lei Municipal nº 4.606/2023.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12.8. Caberá ao GESTOR DO CONTRATO e, nos seus afastamentos e impedimentos legais, ao seu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pPr>
      <w:r>
        <w:rPr>
          <w:b w:val="false"/>
          <w:bCs w:val="false"/>
          <w:spacing w:val="-4"/>
          <w:sz w:val="22"/>
          <w:szCs w:val="22"/>
        </w:rPr>
        <w:t xml:space="preserve">I. coordenar as atividades relacionadas à fiscalização técnica e administrativa;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II. emitir decisão sobre todas as solicitações e reclamações relacionadas à execução dos contratos, no prazo de até 1 (um) mês, contados da instrução do requerimento, ressalvados os requerimentos manifestamente impertinentes, meramente protelatórios ou de nenhum interesse para a boa execução do contrato;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III. acompanhar os registros realizados pelos fiscais do contrato ou dos terceiros contratados, de todas as ocorrências relacionadas à execução do contrato e as medidas adotadas, informando, se for o caso, à autoridade superior aquelas que ultrapassarem a sua competência;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IV. acompanhar a manutenção das condições de habilitação da CONTRATADA, para efeito de empenho de despesa e pagamento, devendo anotar no relatório de riscos eventuais problemas que obstarem o fluxo normal da liquidação e pagamento da despesa;</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 manter atualizado 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necessidade ou não de eventuais adequações ao contrato para que atenda a finalidade da Administração;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VI. coordenar os atos preparatórios à instrução processual e o envio da documentação pertinente ao setor de contratos para formalização dos procedimentos de que dispõe o inciso I do artigo 15, da Lei Municipal nº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rPr/>
      </w:pPr>
      <w:r>
        <w:rPr>
          <w:b w:val="false"/>
          <w:bCs w:val="false"/>
          <w:spacing w:val="-4"/>
          <w:sz w:val="22"/>
          <w:szCs w:val="22"/>
        </w:rPr>
        <w:t xml:space="preserve">VII. comunicar à autoridade competente, em prazo razoável, acerca do término dos contratos, para nova contratação ou prorrogação, visando à solução de continuidade; </w:t>
      </w:r>
    </w:p>
    <w:p>
      <w:pPr>
        <w:pStyle w:val="Ttulo1"/>
        <w:ind w:left="0" w:hanging="0"/>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VIII. constituir relatório final, de que trata a alínea "d" do inciso VI do § 3º do artigo 174 da Lei n.º 14.133/2021, com as informações obtidas durante a execução do contrato, como forma de aprimoramento das atividades da Administração;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IX. atualizar continuamente o relatório de riscos durante a gestão do contrato, com apoio dos fiscais técnico, administrativo e/ou setorial;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X. emitir documento comprobatório da avaliação realizada pelos fiscais técnico, administrativo e/ou setorial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XI. diligenciar para a formalização de processo administrativo de responsabilização para fins de aplicação de sanções, a ser conduzido pela comissão de que trata o art. 158 da Lei n.º 14.133/2021 ou pelo agente/setor com competência para tal, conforme o caso.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12.9. Caberá ao FISCAL TÉCNICO DO CONTRATO e, nos seus afastamentos e impedimentos legais, ao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pPr>
      <w:r>
        <w:rPr>
          <w:b w:val="false"/>
          <w:bCs w:val="false"/>
          <w:spacing w:val="-4"/>
          <w:sz w:val="22"/>
          <w:szCs w:val="22"/>
        </w:rPr>
        <w:t xml:space="preserve">I. prestar apoio técnico e operacional ao gestor do contrato, subsidiando-o de informações pertinentes às suas competências;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II. anotar no Histórico de Gerenciamento do Contrato todas as ocorrências relacionadas à execução do contrato, determinando o que for necessário para a regularização das faltas ou dos defeitos observados;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III. emitir notificações para a correção de rotinas ou de qualquer inexatidão ou irregularidade constatada em desacordo com a execução do contrato, determinando prazo para a correção; </w:t>
      </w:r>
    </w:p>
    <w:p>
      <w:pPr>
        <w:pStyle w:val="Ttulo1"/>
        <w:ind w:left="0" w:hanging="0"/>
        <w:jc w:val="both"/>
        <w:rPr>
          <w:sz w:val="22"/>
          <w:szCs w:val="22"/>
        </w:rPr>
      </w:pPr>
      <w:r>
        <w:rPr>
          <w:sz w:val="22"/>
          <w:szCs w:val="22"/>
        </w:rPr>
      </w:r>
    </w:p>
    <w:p>
      <w:pPr>
        <w:pStyle w:val="Ttulo1"/>
        <w:ind w:left="0" w:hanging="0"/>
        <w:jc w:val="both"/>
        <w:rPr/>
      </w:pPr>
      <w:r>
        <w:rPr>
          <w:b w:val="false"/>
          <w:bCs w:val="false"/>
          <w:spacing w:val="-4"/>
          <w:sz w:val="22"/>
          <w:szCs w:val="22"/>
        </w:rPr>
        <w:t xml:space="preserve">IV. informar ao gestor do contato, em tempo hábil, a situação que demandar decisão ou adoção de medidas que ultrapassem sua competência, para que adote as medidas necessárias e saneadoras, se for o caso;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 comunicar imediatamente ao gestor do contrato quaisquer ocorrências que possam inviabilizar a execução do contrato nas datas aprazadas;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VI. fiscalizar a execução do contrato, para que sejam cumpridas todas as condições estabelecidas na avença, de modo a assegurar os melhores resultados para a Administração, conferindo as notas fiscais e as documentações exigidas para o pagamento, e após o ateste, encaminhar ao gestor de contrato, para ratificação;</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VII. comunicar o gestor do contrato, no prazo estabelecido nos termos no inciso VII do artigo 16, o término do contrato sob sua responsabilidade, no caso de nova contratação ou prorrogação; </w:t>
      </w:r>
    </w:p>
    <w:p>
      <w:pPr>
        <w:pStyle w:val="Ttulo1"/>
        <w:ind w:left="0" w:hanging="0"/>
        <w:jc w:val="both"/>
        <w:rPr>
          <w:sz w:val="22"/>
          <w:szCs w:val="22"/>
        </w:rPr>
      </w:pPr>
      <w:r>
        <w:rPr>
          <w:sz w:val="22"/>
          <w:szCs w:val="22"/>
        </w:rPr>
      </w:r>
    </w:p>
    <w:p>
      <w:pPr>
        <w:pStyle w:val="Ttulo1"/>
        <w:ind w:left="0" w:hanging="0"/>
        <w:jc w:val="both"/>
        <w:rPr/>
      </w:pPr>
      <w:r>
        <w:rPr>
          <w:b w:val="false"/>
          <w:bCs w:val="false"/>
          <w:spacing w:val="-4"/>
          <w:sz w:val="22"/>
          <w:szCs w:val="22"/>
        </w:rPr>
        <w:t xml:space="preserve">VIII. participar da atualização do relatório de riscos durante a fase de gestão do contrato, juntamente com o fiscal administrativo e/ou setorial, de que trata o inciso VII do art. 16; </w:t>
      </w:r>
    </w:p>
    <w:p>
      <w:pPr>
        <w:pStyle w:val="Ttulo1"/>
        <w:ind w:left="0" w:hanging="0"/>
        <w:jc w:val="both"/>
        <w:rPr/>
      </w:pPr>
      <w:r>
        <w:rPr>
          <w:b w:val="false"/>
          <w:bCs w:val="false"/>
          <w:spacing w:val="-4"/>
          <w:sz w:val="22"/>
          <w:szCs w:val="22"/>
        </w:rPr>
        <w:t xml:space="preserve">IX. auxiliar o gestor do contrato com as informações necessárias, na elaboração do documento comprobatório da avaliação realizada na fiscalização do cumprimento de obrigações assumidas pelo contratado, conforme o disposto no inciso VII do caput do art. 16 da Lei Municipal nº 4.606/2023; </w:t>
      </w:r>
    </w:p>
    <w:p>
      <w:pPr>
        <w:pStyle w:val="Ttulo1"/>
        <w:ind w:left="0" w:hanging="0"/>
        <w:jc w:val="both"/>
        <w:rPr>
          <w:sz w:val="22"/>
          <w:szCs w:val="22"/>
        </w:rPr>
      </w:pPr>
      <w:r>
        <w:rPr>
          <w:sz w:val="22"/>
          <w:szCs w:val="22"/>
        </w:rPr>
      </w:r>
    </w:p>
    <w:p>
      <w:pPr>
        <w:pStyle w:val="Ttulo1"/>
        <w:ind w:left="0" w:hanging="0"/>
        <w:jc w:val="both"/>
        <w:rPr/>
      </w:pPr>
      <w:r>
        <w:rPr>
          <w:b w:val="false"/>
          <w:bCs w:val="false"/>
          <w:spacing w:val="-4"/>
          <w:sz w:val="22"/>
          <w:szCs w:val="22"/>
        </w:rPr>
        <w:t xml:space="preserve">X. realizar o recebimento provisório do objeto do contrato referido no art. 20, mediante termo detalhado que comprove o cumprimento das exigências de caráter técnico. </w:t>
      </w:r>
    </w:p>
    <w:p>
      <w:pPr>
        <w:pStyle w:val="Ttulo1"/>
        <w:ind w:left="0" w:hanging="0"/>
        <w:jc w:val="both"/>
        <w:rPr>
          <w:sz w:val="22"/>
          <w:szCs w:val="22"/>
        </w:rPr>
      </w:pPr>
      <w:r>
        <w:rPr>
          <w:sz w:val="22"/>
          <w:szCs w:val="22"/>
        </w:rPr>
      </w:r>
    </w:p>
    <w:p>
      <w:pPr>
        <w:pStyle w:val="Ttulo1"/>
        <w:ind w:left="0" w:hanging="0"/>
        <w:jc w:val="both"/>
        <w:rPr/>
      </w:pPr>
      <w:r>
        <w:rPr>
          <w:b w:val="false"/>
          <w:bCs w:val="false"/>
          <w:spacing w:val="-4"/>
          <w:sz w:val="22"/>
          <w:szCs w:val="22"/>
        </w:rPr>
        <w:t xml:space="preserve">12.9.1.  Ressalta-se que a responsabilidade pela fiscalização técnica do contrato decorrente desta licitação será atribuída à Secretaria Municipal de Obras (SEMOB).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12.10. Caberá ao FISCAL ADMINISTRATIVO DO CONTRATO e, nos seus afastamentos e impedimentos legais, do substituto, em especial: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pPr>
      <w:r>
        <w:rPr>
          <w:b w:val="false"/>
          <w:bCs w:val="false"/>
          <w:spacing w:val="-4"/>
          <w:sz w:val="22"/>
          <w:szCs w:val="22"/>
        </w:rPr>
        <w:t xml:space="preserve">I. prestar apoio técnico e operacional ao gestor do contrato, subsidiando-o de informações pertinentes às suas competências;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II. verificar a manutenção das condições de habilitação da CONTRATADA;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III. examinar a regularidade no recolhimento das contribuições fiscal, trabalhista e previdenciária e, em caso de descumprimento, observar as regras expedidas pela Administração;</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IV. atuar tempestivamente na solução de eventuais problemas de descumprimento das obrigações contratuais, reportando ao gestor do contrato para providências cabíveis, quando ultrapassar a sua competência;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 participar da atualização do relatório de riscos durante a fase de gestão do contrato, em conjunto com o fiscal técnico e com o setorial, conforme o disposto no inciso IX do caput do art. 16, da Lei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VI. auxiliar o gestor do contrato com as informações necessárias, na elaboração do documento comprobatório da avaliação realizada na fiscalização do cumprimento de obrigações assumidas pelo contratado, conforme o disposto no inciso X do caput do art. 16, da Lei 4.606/2023; </w:t>
      </w:r>
    </w:p>
    <w:p>
      <w:pPr>
        <w:pStyle w:val="Ttulo1"/>
        <w:ind w:left="0" w:hanging="0"/>
        <w:jc w:val="both"/>
        <w:rPr>
          <w:b w:val="false"/>
          <w:b w:val="false"/>
          <w:bCs w:val="false"/>
          <w:spacing w:val="-4"/>
          <w:sz w:val="22"/>
          <w:szCs w:val="22"/>
        </w:rPr>
      </w:pPr>
      <w:r>
        <w:rPr>
          <w:b w:val="false"/>
          <w:bCs w:val="false"/>
          <w:spacing w:val="-4"/>
          <w:sz w:val="22"/>
          <w:szCs w:val="22"/>
        </w:rPr>
      </w:r>
    </w:p>
    <w:p>
      <w:pPr>
        <w:pStyle w:val="Ttulo1"/>
        <w:ind w:left="0" w:hanging="0"/>
        <w:jc w:val="both"/>
        <w:rPr/>
      </w:pPr>
      <w:r>
        <w:rPr>
          <w:b w:val="false"/>
          <w:bCs w:val="false"/>
          <w:spacing w:val="-4"/>
          <w:sz w:val="22"/>
          <w:szCs w:val="22"/>
        </w:rPr>
        <w:t xml:space="preserve">VII. realizar o recebimento provisório do objeto do contrato, mediante termo detalhado que comprove o cumprimento das exigências de caráter administrativo.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12.11.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12.12.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12.13. 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Ttulo1"/>
        <w:ind w:left="0" w:hanging="0"/>
        <w:jc w:val="both"/>
        <w:rPr/>
      </w:pPr>
      <w:r>
        <w:rPr/>
      </w:r>
    </w:p>
    <w:p>
      <w:pPr>
        <w:pStyle w:val="Ttulo1"/>
        <w:ind w:left="0" w:hanging="0"/>
        <w:jc w:val="both"/>
        <w:rPr/>
      </w:pPr>
      <w:r>
        <w:rPr>
          <w:b w:val="false"/>
          <w:bCs w:val="false"/>
          <w:spacing w:val="-4"/>
          <w:sz w:val="22"/>
          <w:szCs w:val="22"/>
        </w:rPr>
        <w:t xml:space="preserve">12.14. O acompanhamento, o controle, a fiscalização e avaliação de que trata este item não excluem a responsabilidade da CONTRATADA e nem confere à CONTRATANTE a responsabilidade solidária, inclusive perante terceiros por quaisquer irregularidades ou danos na execução dos serviços contratados.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12.15. O recebimento provisório ou definitivo não excluirá a responsabilidade civil pela solidez e pela segurança da obra ou serviço nem a responsabilidade ético-profissional pela perfeita execução do contrato, nos limites estabelecidos pela lei ou pelo contrato. </w:t>
      </w:r>
    </w:p>
    <w:p>
      <w:pPr>
        <w:pStyle w:val="Ttulo1"/>
        <w:ind w:left="0" w:hanging="0"/>
        <w:jc w:val="both"/>
        <w:rPr>
          <w:spacing w:val="-4"/>
          <w:sz w:val="22"/>
          <w:szCs w:val="22"/>
        </w:rPr>
      </w:pPr>
      <w:r>
        <w:rPr>
          <w:spacing w:val="-4"/>
          <w:sz w:val="22"/>
          <w:szCs w:val="22"/>
        </w:rPr>
      </w:r>
    </w:p>
    <w:p>
      <w:pPr>
        <w:pStyle w:val="Ttulo1"/>
        <w:ind w:left="0" w:hanging="0"/>
        <w:jc w:val="both"/>
        <w:rPr/>
      </w:pPr>
      <w:r>
        <w:rPr>
          <w:b w:val="false"/>
          <w:bCs w:val="false"/>
          <w:spacing w:val="-4"/>
          <w:sz w:val="22"/>
          <w:szCs w:val="22"/>
        </w:rPr>
        <w:t xml:space="preserve">12.16. A CONTRATANTE se reserva no direito de rejeitar no todo ou em parte, os serviços ora contratados, prestados em desacordo com Edital e seus anexos, e com o contrato. </w:t>
      </w:r>
    </w:p>
    <w:p>
      <w:pPr>
        <w:pStyle w:val="Ttulo1"/>
        <w:ind w:left="0" w:hanging="0"/>
        <w:jc w:val="both"/>
        <w:rPr>
          <w:b w:val="false"/>
          <w:b w:val="false"/>
          <w:bCs w:val="false"/>
          <w:sz w:val="22"/>
          <w:szCs w:val="22"/>
        </w:rPr>
      </w:pPr>
      <w:r>
        <w:rPr>
          <w:b w:val="false"/>
          <w:bCs w:val="false"/>
          <w:sz w:val="22"/>
          <w:szCs w:val="22"/>
        </w:rPr>
      </w:r>
    </w:p>
    <w:p>
      <w:pPr>
        <w:pStyle w:val="Ttulo1"/>
        <w:ind w:left="0" w:hanging="0"/>
        <w:jc w:val="both"/>
        <w:rPr/>
      </w:pPr>
      <w:r>
        <w:rPr>
          <w:b w:val="false"/>
          <w:bCs w:val="false"/>
          <w:spacing w:val="-4"/>
          <w:sz w:val="22"/>
          <w:szCs w:val="22"/>
        </w:rPr>
        <w:t xml:space="preserve">12.17. As determinações e as solicitações formuladas pelo representante da CONTRATANTE encarregado da fiscalização do Contrato deverão ser prontamente atendidas pela CONTRATADA ou, nesta impossibilidade, justificadas por escrito, sob pena de aplicação das medidas legais cabíveis. </w:t>
      </w:r>
    </w:p>
    <w:p>
      <w:pPr>
        <w:pStyle w:val="Corpodotexto"/>
        <w:jc w:val="both"/>
        <w:rPr>
          <w:rFonts w:ascii="Arial" w:hAnsi="Arial"/>
          <w:sz w:val="22"/>
          <w:szCs w:val="22"/>
        </w:rPr>
      </w:pPr>
      <w:r>
        <w:rPr>
          <w:rFonts w:ascii="Arial" w:hAnsi="Arial"/>
          <w:sz w:val="22"/>
          <w:szCs w:val="22"/>
        </w:rPr>
      </w:r>
    </w:p>
    <w:p>
      <w:pPr>
        <w:pStyle w:val="Corpodotexto"/>
        <w:jc w:val="both"/>
        <w:rPr>
          <w:rFonts w:ascii="Arial" w:hAnsi="Arial"/>
          <w:b/>
          <w:b/>
          <w:bCs/>
          <w:sz w:val="22"/>
          <w:szCs w:val="22"/>
        </w:rPr>
      </w:pPr>
      <w:r>
        <w:rPr>
          <w:rFonts w:ascii="Arial" w:hAnsi="Arial"/>
          <w:b/>
          <w:bCs/>
          <w:sz w:val="22"/>
          <w:szCs w:val="22"/>
        </w:rPr>
      </w:r>
    </w:p>
    <w:p>
      <w:pPr>
        <w:pStyle w:val="Corpodotexto"/>
        <w:jc w:val="both"/>
        <w:rPr/>
      </w:pPr>
      <w:r>
        <w:rPr>
          <w:rFonts w:ascii="Arial" w:hAnsi="Arial"/>
          <w:b/>
          <w:bCs/>
          <w:sz w:val="22"/>
          <w:szCs w:val="22"/>
        </w:rPr>
        <w:t xml:space="preserve">13. CLAUSULA DECIMA TERCEIRA: </w:t>
      </w:r>
      <w:r>
        <w:rPr>
          <w:rFonts w:cs="Arial" w:ascii="Arial" w:hAnsi="Arial"/>
          <w:b/>
          <w:bCs/>
          <w:sz w:val="22"/>
          <w:szCs w:val="22"/>
        </w:rPr>
        <w:t xml:space="preserve"> DAS ALTERAÇÕES</w:t>
      </w:r>
    </w:p>
    <w:p>
      <w:pPr>
        <w:pStyle w:val="Corpodotexto"/>
        <w:jc w:val="both"/>
        <w:rPr>
          <w:rFonts w:ascii="Arial" w:hAnsi="Arial"/>
          <w:sz w:val="22"/>
          <w:szCs w:val="22"/>
        </w:rPr>
      </w:pPr>
      <w:r>
        <w:rPr>
          <w:rFonts w:ascii="Arial" w:hAnsi="Arial"/>
          <w:sz w:val="22"/>
          <w:szCs w:val="22"/>
        </w:rPr>
      </w:r>
    </w:p>
    <w:p>
      <w:pPr>
        <w:pStyle w:val="Corpodotexto"/>
        <w:jc w:val="both"/>
        <w:rPr/>
      </w:pPr>
      <w:r>
        <w:rPr>
          <w:rFonts w:cs="Arial" w:ascii="Arial" w:hAnsi="Arial"/>
          <w:bCs/>
          <w:iCs/>
          <w:sz w:val="22"/>
          <w:szCs w:val="22"/>
        </w:rPr>
        <w:t>13.1. Eventuais alterações contratuais reger-se-ão pela disciplina dos arts. 124 e seguintes da Lei nº 14.133, de 2021.</w:t>
      </w:r>
    </w:p>
    <w:p>
      <w:pPr>
        <w:pStyle w:val="Corpodotexto"/>
        <w:jc w:val="both"/>
        <w:rPr>
          <w:rFonts w:ascii="Arial" w:hAnsi="Arial"/>
          <w:sz w:val="22"/>
          <w:szCs w:val="22"/>
        </w:rPr>
      </w:pPr>
      <w:r>
        <w:rPr>
          <w:rFonts w:ascii="Arial" w:hAnsi="Arial"/>
          <w:sz w:val="22"/>
          <w:szCs w:val="22"/>
        </w:rPr>
      </w:r>
    </w:p>
    <w:p>
      <w:pPr>
        <w:pStyle w:val="Corpodotexto"/>
        <w:jc w:val="both"/>
        <w:rPr/>
      </w:pPr>
      <w:r>
        <w:rPr>
          <w:rFonts w:cs="Arial" w:ascii="Arial" w:hAnsi="Arial"/>
          <w:bCs/>
          <w:iCs/>
          <w:sz w:val="22"/>
          <w:szCs w:val="22"/>
        </w:rPr>
        <w:t>13.2. A CONTRATADA é obrigada a aceitar, nas mesmas condições contratuais, os acréscimos ou supressões que se fizerem necessários, até o limite de 25% (vinte e cinco por cento) do valor inicial atualizado do contrato e, no caso particular de reforma de edifício ou de equipamento, até o limite de 50% (cinquenta por cento) para os seus acréscimos.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bCs/>
          <w:iCs/>
          <w:sz w:val="22"/>
          <w:szCs w:val="22"/>
        </w:rPr>
        <w:t xml:space="preserve">13.2.1. As alterações serão circunstanciadamente justificadas e previamente autorizadas pela </w:t>
      </w:r>
      <w:r>
        <w:rPr>
          <w:rFonts w:cs="Arial" w:ascii="Arial" w:hAnsi="Arial"/>
          <w:sz w:val="22"/>
          <w:szCs w:val="22"/>
        </w:rPr>
        <w:t>autoridade competente</w:t>
      </w:r>
      <w:r>
        <w:rPr>
          <w:rFonts w:cs="Arial" w:ascii="Arial" w:hAnsi="Arial"/>
          <w:bCs/>
          <w:iCs/>
          <w:sz w:val="22"/>
          <w:szCs w:val="22"/>
        </w:rPr>
        <w:t>.</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bCs/>
          <w:iCs/>
          <w:sz w:val="22"/>
          <w:szCs w:val="22"/>
        </w:rPr>
        <w:t>13.3. As supressões resultantes de acordo celebrado entre as partes contratantes poderão exceder o limite de 25% (vinte e cinco por cento) do valor inicial atualizado do contrato.</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bCs/>
          <w:iCs/>
          <w:sz w:val="22"/>
          <w:szCs w:val="22"/>
        </w:rPr>
        <w:t>13.4. As alterações quantitativas e qualitativas deverão ser formalizadas por meio de termo aditivo, no qual deverão ser indicados com precisão os quantitativos ou especificações alterados e a variação percentual do valor inicial correspondente, observadas as condições e o limites percentuais para acréscimos e decréscimos, na forma do art. 124 Lei Federal nº 14.133/2021.</w:t>
      </w:r>
    </w:p>
    <w:p>
      <w:pPr>
        <w:pStyle w:val="Corpodotexto"/>
        <w:jc w:val="both"/>
        <w:rPr/>
      </w:pPr>
      <w:r>
        <w:rPr>
          <w:rFonts w:cs="Arial" w:ascii="Arial" w:hAnsi="Arial"/>
          <w:bCs/>
          <w:iCs/>
          <w:sz w:val="22"/>
          <w:szCs w:val="22"/>
        </w:rPr>
        <w:t>13.5. Nenhum acréscimo ou supressão poderá exceder o limite estabelecido no subitem anterior, salvo as supressões resultantes de acordo celebrado entre as contratantes.</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bCs/>
          <w:iCs/>
          <w:sz w:val="22"/>
          <w:szCs w:val="22"/>
        </w:rPr>
        <w:t>13.6. Se a contratada houver adquirido materiais para aplicação na obra antes da notificação de supressão pela contratante, e não sendo aceita a sua devolução, fará jus ao pagamento correspondente, considerando-se exclusivamente os preços de aquisição dos materiais, tal como regularmente comprovados, que passarão então a pertencer ao Município de Aracruz.</w:t>
      </w:r>
    </w:p>
    <w:p>
      <w:pPr>
        <w:pStyle w:val="Corpodotexto"/>
        <w:jc w:val="both"/>
        <w:rPr>
          <w:rFonts w:ascii="Arial" w:hAnsi="Arial"/>
          <w:sz w:val="22"/>
          <w:szCs w:val="22"/>
        </w:rPr>
      </w:pPr>
      <w:r>
        <w:rPr>
          <w:rFonts w:ascii="Arial" w:hAnsi="Arial"/>
          <w:sz w:val="22"/>
          <w:szCs w:val="22"/>
        </w:rPr>
      </w:r>
    </w:p>
    <w:p>
      <w:pPr>
        <w:pStyle w:val="Corpodotexto"/>
        <w:jc w:val="both"/>
        <w:rPr/>
      </w:pPr>
      <w:r>
        <w:rPr>
          <w:rFonts w:cs="Arial" w:ascii="Arial" w:hAnsi="Arial"/>
          <w:bCs/>
          <w:iCs/>
          <w:sz w:val="22"/>
          <w:szCs w:val="22"/>
        </w:rPr>
        <w:t>13.7. Os acréscimos e supressões serão calculados sobre o valor original atualizado do contrato, aplicando-se a cada um desses conjuntos, individualmente e sem nenhum tipo de compensação entre eles, os limites de alteração previstos em lei.</w:t>
      </w:r>
    </w:p>
    <w:p>
      <w:pPr>
        <w:pStyle w:val="Corpodotexto"/>
        <w:jc w:val="both"/>
        <w:rPr>
          <w:rFonts w:ascii="Arial" w:hAnsi="Arial" w:cs="Arial"/>
          <w:bCs/>
          <w:iCs/>
          <w:sz w:val="22"/>
          <w:szCs w:val="22"/>
        </w:rPr>
      </w:pPr>
      <w:r>
        <w:rPr>
          <w:rFonts w:cs="Arial" w:ascii="Arial" w:hAnsi="Arial"/>
          <w:bCs/>
          <w:iCs/>
          <w:sz w:val="22"/>
          <w:szCs w:val="22"/>
        </w:rPr>
      </w:r>
    </w:p>
    <w:p>
      <w:pPr>
        <w:pStyle w:val="Corpodotexto"/>
        <w:jc w:val="both"/>
        <w:rPr/>
      </w:pPr>
      <w:r>
        <w:rPr>
          <w:rFonts w:cs="Arial" w:ascii="Arial" w:hAnsi="Arial"/>
          <w:iCs/>
          <w:sz w:val="22"/>
          <w:szCs w:val="22"/>
        </w:rPr>
        <w:t>13.8. As adequações dos projetos e das condições de execução dos serviços sempre deverão atender aos requisitos e normas técnico-legais pertinentes, acompanhadas dos devidos registros nos Conselhos profissionais competentes, e submetidas à aprovação prévia da autoridade competente.</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pPr>
      <w:r>
        <w:rPr>
          <w:sz w:val="22"/>
          <w:szCs w:val="22"/>
        </w:rPr>
        <w:t>14. CLÁUSULA</w:t>
      </w:r>
      <w:r>
        <w:rPr>
          <w:spacing w:val="-10"/>
          <w:sz w:val="22"/>
          <w:szCs w:val="22"/>
        </w:rPr>
        <w:t xml:space="preserve"> </w:t>
      </w:r>
      <w:r>
        <w:rPr>
          <w:sz w:val="22"/>
          <w:szCs w:val="22"/>
        </w:rPr>
        <w:t>DÉCIMA</w:t>
      </w:r>
      <w:r>
        <w:rPr>
          <w:spacing w:val="-12"/>
          <w:sz w:val="22"/>
          <w:szCs w:val="22"/>
        </w:rPr>
        <w:t xml:space="preserve"> </w:t>
      </w:r>
      <w:r>
        <w:rPr>
          <w:sz w:val="22"/>
          <w:szCs w:val="22"/>
        </w:rPr>
        <w:t>QUARTA</w:t>
      </w:r>
      <w:r>
        <w:rPr>
          <w:spacing w:val="-11"/>
          <w:sz w:val="22"/>
          <w:szCs w:val="22"/>
        </w:rPr>
        <w:t xml:space="preserve"> –</w:t>
      </w:r>
      <w:r>
        <w:rPr>
          <w:spacing w:val="-5"/>
          <w:sz w:val="22"/>
          <w:szCs w:val="22"/>
        </w:rPr>
        <w:t xml:space="preserve"> EXTINÇÃO CONTRATUAL</w:t>
      </w:r>
    </w:p>
    <w:p>
      <w:pPr>
        <w:pStyle w:val="Normal"/>
        <w:jc w:val="both"/>
        <w:rPr>
          <w:rFonts w:ascii="Arial" w:hAnsi="Arial"/>
        </w:rPr>
      </w:pPr>
      <w:r>
        <w:rPr>
          <w:rFonts w:ascii="Arial" w:hAnsi="Arial"/>
        </w:rPr>
      </w:r>
    </w:p>
    <w:p>
      <w:pPr>
        <w:pStyle w:val="Normal"/>
        <w:jc w:val="both"/>
        <w:rPr/>
      </w:pPr>
      <w:r>
        <w:rPr>
          <w:rFonts w:eastAsia="Times New Roman" w:cs="Arial" w:ascii="Arial" w:hAnsi="Arial"/>
          <w:lang w:eastAsia="pt-BR"/>
        </w:rPr>
        <w:t>14.1. O contrato se extingue quando cumpridas as obrigações de ambas as partes, ainda que isso ocorra antes do prazo estipulado para tanto.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14.2.</w:t>
        <w:tab/>
        <w:t>Se as obrigações não forem cumpridas no prazo estipulado, a vigência ficará prorrogada até a conclusão do objeto, caso em que deverá a Administração providenciar a readequação do cronograma fixado para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14.3. Quando a não conclusão do contrato referida no item anterior decorrer de culpa do contratado: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a) ficará ele constituído em mora, sendo-lhe aplicáveis as respectivas sanções administrativas;e</w:t>
      </w:r>
    </w:p>
    <w:p>
      <w:pPr>
        <w:pStyle w:val="Normal"/>
        <w:jc w:val="both"/>
        <w:rPr>
          <w:rFonts w:ascii="Arial" w:hAnsi="Arial"/>
        </w:rPr>
      </w:pPr>
      <w:r>
        <w:rPr>
          <w:rFonts w:ascii="Arial" w:hAnsi="Arial"/>
        </w:rPr>
      </w:r>
    </w:p>
    <w:p>
      <w:pPr>
        <w:pStyle w:val="Normal"/>
        <w:jc w:val="both"/>
        <w:rPr/>
      </w:pPr>
      <w:r>
        <w:rPr>
          <w:rFonts w:eastAsia="Times New Roman" w:cs="Arial" w:ascii="Arial" w:hAnsi="Arial"/>
          <w:lang w:eastAsia="pt-BR"/>
        </w:rPr>
        <w:t>b) poderá a Administração optar pela extinção do contrato e, nesse caso, adotará as medidas admitidas em lei para a continuidade da execução contratual.</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14.4.</w:t>
        <w:tab/>
        <w:t>O contrato pode ser extinto antes de cumpridas as obrigações nele estipuladas, ou antes do prazo nele fixado, por algum dos motivos previstos no artigo 137 da Lei nº 14.133/21, bem como amigavelmente, assegurados o contraditório e a ampla defesa.</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14.4.1.</w:t>
        <w:tab/>
        <w:t>Nesta hipótese, aplicam-se também os artigos 138 e 139 da mesma Lei.</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14.4.2.</w:t>
        <w:tab/>
        <w:t>A alteração social ou a modificação da finalidade ou da estrutura da empresa não ensejará a rescisão se não restringir sua capacidade de concluir o contrato.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14.4.2.1. Se a operação implicar mudança da pessoa jurídica contratada, deverá ser formalizado termo aditivo para alteração subjetiva.</w:t>
      </w:r>
    </w:p>
    <w:p>
      <w:pPr>
        <w:pStyle w:val="Normal"/>
        <w:jc w:val="both"/>
        <w:rPr>
          <w:rFonts w:ascii="Arial" w:hAnsi="Arial"/>
        </w:rPr>
      </w:pPr>
      <w:r>
        <w:rPr>
          <w:rFonts w:ascii="Arial" w:hAnsi="Arial"/>
        </w:rPr>
      </w:r>
    </w:p>
    <w:p>
      <w:pPr>
        <w:pStyle w:val="Normal"/>
        <w:jc w:val="both"/>
        <w:rPr/>
      </w:pPr>
      <w:r>
        <w:rPr>
          <w:rFonts w:eastAsia="Times New Roman" w:cs="Arial" w:ascii="Arial" w:hAnsi="Arial"/>
          <w:lang w:eastAsia="pt-BR"/>
        </w:rPr>
        <w:t>14.5. Os casos de rescisão contratual serão formalmente motivados, assegurando-se à CONTRATADA o direito à prévia e ampla defesa.</w:t>
      </w:r>
    </w:p>
    <w:p>
      <w:pPr>
        <w:pStyle w:val="Normal"/>
        <w:jc w:val="both"/>
        <w:rPr>
          <w:rFonts w:ascii="Arial" w:hAnsi="Arial"/>
        </w:rPr>
      </w:pPr>
      <w:r>
        <w:rPr>
          <w:rFonts w:ascii="Arial" w:hAnsi="Arial"/>
        </w:rPr>
      </w:r>
    </w:p>
    <w:p>
      <w:pPr>
        <w:pStyle w:val="Normal"/>
        <w:jc w:val="both"/>
        <w:rPr/>
      </w:pPr>
      <w:r>
        <w:rPr>
          <w:rFonts w:eastAsia="Times New Roman" w:cs="Arial" w:ascii="Arial" w:hAnsi="Arial"/>
          <w:lang w:eastAsia="pt-BR"/>
        </w:rPr>
        <w:t>14.6.</w:t>
        <w:tab/>
        <w:t>O termo de rescisão, sempre que possível, será precedido:</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14.6.1.</w:t>
        <w:tab/>
        <w:t>Balanço dos eventos contratuais já cumpridos ou parcialmente cumpridos em relação ao cronograma físico-financeiro, atualizado;</w:t>
      </w:r>
    </w:p>
    <w:p>
      <w:pPr>
        <w:pStyle w:val="Normal"/>
        <w:jc w:val="both"/>
        <w:rPr>
          <w:rFonts w:ascii="Arial" w:hAnsi="Arial"/>
        </w:rPr>
      </w:pPr>
      <w:r>
        <w:rPr>
          <w:rFonts w:ascii="Arial" w:hAnsi="Arial"/>
        </w:rPr>
      </w:r>
    </w:p>
    <w:p>
      <w:pPr>
        <w:pStyle w:val="Normal"/>
        <w:jc w:val="both"/>
        <w:rPr/>
      </w:pPr>
      <w:r>
        <w:rPr>
          <w:rFonts w:eastAsia="Times New Roman" w:cs="Arial" w:ascii="Arial" w:hAnsi="Arial"/>
          <w:spacing w:val="-5"/>
          <w:lang w:eastAsia="pt-BR"/>
        </w:rPr>
        <w:t>14.6.2.</w:t>
        <w:tab/>
        <w:t>Relação dos pagamentos já efetuados e ainda devidos;</w:t>
      </w:r>
    </w:p>
    <w:p>
      <w:pPr>
        <w:pStyle w:val="Normal"/>
        <w:jc w:val="both"/>
        <w:rPr/>
      </w:pPr>
      <w:r>
        <w:rPr/>
      </w:r>
    </w:p>
    <w:p>
      <w:pPr>
        <w:pStyle w:val="Normal"/>
        <w:jc w:val="both"/>
        <w:rPr/>
      </w:pPr>
      <w:r>
        <w:rPr>
          <w:rFonts w:eastAsia="Times New Roman" w:cs="Arial" w:ascii="Arial" w:hAnsi="Arial"/>
          <w:lang w:eastAsia="pt-BR"/>
        </w:rPr>
        <w:t>14.6.3.</w:t>
        <w:tab/>
        <w:t>Indenizações e multas.</w:t>
      </w:r>
    </w:p>
    <w:p>
      <w:pPr>
        <w:pStyle w:val="Normal"/>
        <w:jc w:val="both"/>
        <w:rPr>
          <w:rFonts w:ascii="Arial" w:hAnsi="Arial" w:eastAsia="Times New Roman" w:cs="Arial"/>
          <w:lang w:eastAsia="pt-BR"/>
        </w:rPr>
      </w:pPr>
      <w:r>
        <w:rPr>
          <w:rFonts w:eastAsia="Times New Roman" w:cs="Arial" w:ascii="Arial" w:hAnsi="Arial"/>
          <w:lang w:eastAsia="pt-BR"/>
        </w:rPr>
      </w:r>
    </w:p>
    <w:p>
      <w:pPr>
        <w:pStyle w:val="Normal"/>
        <w:jc w:val="both"/>
        <w:rPr/>
      </w:pPr>
      <w:r>
        <w:rPr>
          <w:rFonts w:eastAsia="Times New Roman" w:cs="Arial" w:ascii="Arial" w:hAnsi="Arial"/>
          <w:lang w:eastAsia="pt-BR"/>
        </w:rPr>
        <w:t>14.7. Em caso algum o CONTRATANTE pagará indenização à CONTRATADA por encargos resultantes da Legislação Trabalhista Previdenciária, Fiscal e Comercial, bem como aqueles resultantes de atos ilícitos praticados pela CONTRATADA e seus prepostos a terceiros.</w:t>
      </w:r>
    </w:p>
    <w:p>
      <w:pPr>
        <w:pStyle w:val="Normal"/>
        <w:jc w:val="both"/>
        <w:rPr>
          <w:rFonts w:ascii="Arial" w:hAnsi="Arial"/>
        </w:rPr>
      </w:pPr>
      <w:r>
        <w:rPr>
          <w:rFonts w:ascii="Arial" w:hAnsi="Arial"/>
        </w:rPr>
      </w:r>
    </w:p>
    <w:p>
      <w:pPr>
        <w:pStyle w:val="Normal"/>
        <w:jc w:val="both"/>
        <w:rPr/>
      </w:pPr>
      <w:r>
        <w:rPr>
          <w:rFonts w:eastAsia="Times New Roman" w:cs="Arial" w:ascii="Arial" w:hAnsi="Arial"/>
          <w:lang w:eastAsia="pt-BR"/>
        </w:rPr>
        <w:t>14.8.</w:t>
        <w:tab/>
        <w:t>A extinção do contrato não configura óbice para o reconhecimento do desequilíbrio econômico-financeiro, hipótese em que será concedida indenização por meio de termo indenizatório (art. 131, caput, da Lei n.º 14.133, de 2021).</w:t>
      </w:r>
    </w:p>
    <w:p>
      <w:pPr>
        <w:pStyle w:val="Ttulo1"/>
        <w:ind w:left="0" w:hanging="0"/>
        <w:rPr>
          <w:sz w:val="22"/>
          <w:szCs w:val="22"/>
        </w:rPr>
      </w:pPr>
      <w:r>
        <w:rPr>
          <w:sz w:val="22"/>
          <w:szCs w:val="22"/>
        </w:rPr>
      </w:r>
    </w:p>
    <w:p>
      <w:pPr>
        <w:pStyle w:val="Ttulo1"/>
        <w:ind w:left="0" w:hanging="0"/>
        <w:rPr>
          <w:spacing w:val="-1"/>
          <w:sz w:val="22"/>
          <w:szCs w:val="22"/>
        </w:rPr>
      </w:pPr>
      <w:r>
        <w:rPr>
          <w:spacing w:val="-1"/>
          <w:sz w:val="22"/>
          <w:szCs w:val="22"/>
        </w:rPr>
      </w:r>
    </w:p>
    <w:p>
      <w:pPr>
        <w:pStyle w:val="Ttulo1"/>
        <w:ind w:left="0" w:hanging="0"/>
        <w:rPr/>
      </w:pPr>
      <w:r>
        <w:rPr>
          <w:spacing w:val="-1"/>
          <w:sz w:val="22"/>
          <w:szCs w:val="22"/>
        </w:rPr>
        <w:t>15. CLÁUSULA</w:t>
      </w:r>
      <w:r>
        <w:rPr>
          <w:spacing w:val="-10"/>
          <w:sz w:val="22"/>
          <w:szCs w:val="22"/>
        </w:rPr>
        <w:t xml:space="preserve"> </w:t>
      </w:r>
      <w:r>
        <w:rPr>
          <w:spacing w:val="-1"/>
          <w:sz w:val="22"/>
          <w:szCs w:val="22"/>
        </w:rPr>
        <w:t>DÉCIMA</w:t>
      </w:r>
      <w:r>
        <w:rPr>
          <w:spacing w:val="-11"/>
          <w:sz w:val="22"/>
          <w:szCs w:val="22"/>
        </w:rPr>
        <w:t xml:space="preserve"> </w:t>
      </w:r>
      <w:r>
        <w:rPr>
          <w:spacing w:val="-1"/>
          <w:sz w:val="22"/>
          <w:szCs w:val="22"/>
        </w:rPr>
        <w:t>QUINTA</w:t>
      </w:r>
      <w:r>
        <w:rPr>
          <w:spacing w:val="-11"/>
          <w:sz w:val="22"/>
          <w:szCs w:val="22"/>
        </w:rPr>
        <w:t xml:space="preserve"> </w:t>
      </w:r>
      <w:r>
        <w:rPr>
          <w:spacing w:val="-1"/>
          <w:sz w:val="22"/>
          <w:szCs w:val="22"/>
        </w:rPr>
        <w:t>–</w:t>
      </w:r>
      <w:r>
        <w:rPr>
          <w:spacing w:val="-7"/>
          <w:sz w:val="22"/>
          <w:szCs w:val="22"/>
        </w:rPr>
        <w:t xml:space="preserve"> </w:t>
      </w:r>
      <w:r>
        <w:rPr>
          <w:spacing w:val="-1"/>
          <w:sz w:val="22"/>
          <w:szCs w:val="22"/>
        </w:rPr>
        <w:t>DAS</w:t>
      </w:r>
      <w:r>
        <w:rPr>
          <w:spacing w:val="-4"/>
          <w:sz w:val="22"/>
          <w:szCs w:val="22"/>
        </w:rPr>
        <w:t xml:space="preserve"> </w:t>
      </w:r>
      <w:r>
        <w:rPr>
          <w:sz w:val="22"/>
          <w:szCs w:val="22"/>
        </w:rPr>
        <w:t>SANÇÕES</w:t>
      </w:r>
      <w:r>
        <w:rPr>
          <w:spacing w:val="-14"/>
          <w:sz w:val="22"/>
          <w:szCs w:val="22"/>
        </w:rPr>
        <w:t xml:space="preserve"> </w:t>
      </w:r>
      <w:r>
        <w:rPr>
          <w:sz w:val="22"/>
          <w:szCs w:val="22"/>
        </w:rPr>
        <w:t>ADMINISTRATIVAS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 Comete infração administrativa, nos termos da Lei 14.133/2021, bem como do Decreto Municipal nº 43.665/2023, o contratado que: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a)  der causa à inexecução parcial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b) der causa à inexecução parcial do contrato que cause grave dano à Administração ou ao funcionamento dos serviços públicos ou ao interesse coletivo;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c) der causa à inexecução total do contrato;</w:t>
      </w:r>
    </w:p>
    <w:p>
      <w:pPr>
        <w:pStyle w:val="ListParagraph"/>
        <w:tabs>
          <w:tab w:val="clear" w:pos="720"/>
          <w:tab w:val="left" w:pos="702" w:leader="none"/>
        </w:tabs>
        <w:ind w:left="0" w:hanging="0"/>
        <w:rPr/>
      </w:pPr>
      <w:r>
        <w:rPr/>
      </w:r>
    </w:p>
    <w:p>
      <w:pPr>
        <w:pStyle w:val="ListParagraph"/>
        <w:tabs>
          <w:tab w:val="clear" w:pos="720"/>
          <w:tab w:val="left" w:pos="702" w:leader="none"/>
        </w:tabs>
        <w:ind w:left="0" w:hanging="0"/>
        <w:rPr/>
      </w:pPr>
      <w:r>
        <w:rPr>
          <w:rFonts w:cs="Arial" w:ascii="Arial" w:hAnsi="Arial"/>
        </w:rPr>
        <w:t>d) ensejar o retardamento da execução ou da entrega do objeto da contratação sem motivo justificado;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e) apresentar documentação falsa ou prestar declaração falsa durante a execução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f) praticar ato fraudulento na execução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g) comportar-se de modo inidôneo ou cometer fraude de qualquer natureza;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h) praticar ato lesivo previsto no art. 5º da Lei 12.846/2013.</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 Serão aplicadas ao contratado que incorrer nas infrações acima descritas as seguintes sanções: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15.2.1. Advertência, quando o contratado der causa à inexecução parcial do contrato, sempre que não se justificar a imposição de penalidade mais grave (art. 156, § 2º,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15.2.2. Impedimento de licitar e contratar, quando praticadas as condutas descritas nas alíneas “b”, “c” e “d” do subitem acima, sempre que não se justificar a imposição de penalidade mais grave (art. 156, § 4º,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15.2.3. Declaração de inidoneidade para licitar e contratar, quando praticadas as condutas descritas nas alíneas “e”, “f”, “g” e “h” do subitem acima, bem como nas alíneas “b”, “c” e “d”, que justifiquem a imposição de penalidade mais grave (art. 156, § 5º, da Lei 14.133/2021);</w:t>
      </w:r>
    </w:p>
    <w:p>
      <w:pPr>
        <w:pStyle w:val="ListParagraph"/>
        <w:tabs>
          <w:tab w:val="clear" w:pos="720"/>
          <w:tab w:val="left" w:pos="702" w:leader="none"/>
        </w:tabs>
        <w:ind w:left="0" w:hanging="0"/>
        <w:rPr/>
      </w:pPr>
      <w:r>
        <w:rPr/>
      </w:r>
    </w:p>
    <w:p>
      <w:pPr>
        <w:pStyle w:val="ListParagraph"/>
        <w:tabs>
          <w:tab w:val="clear" w:pos="720"/>
          <w:tab w:val="left" w:pos="702" w:leader="none"/>
        </w:tabs>
        <w:ind w:left="0" w:hanging="0"/>
        <w:rPr/>
      </w:pPr>
      <w:r>
        <w:rPr>
          <w:rFonts w:cs="Arial" w:ascii="Arial" w:hAnsi="Arial"/>
        </w:rPr>
        <w:t>15.2.4. Multas (art. 156, II, e § 3º, da Lei 14.133/2021), observados os seguintes parâmetros: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15.2.4.1. Multa moratória de 0,5% (cinco décimos por cento) por dia útil de atraso injustificado sobre o valor da parcela inadimplida, até o limite de 30 (trinta) dias;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15.2.4.2. Multa compensatória de 0,5% (cinco décimos por cento) a 5% (cinco por cento), incidente sobre o valor do contrato, para a infração descrita na alínea “a”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15.2.4.3. Multa compensatória de 0,5% (cinco décimos por cento) a 20% (vinte por cento) incidente sobre o valor do contrato, para as infrações descritas nas alíneas “b”, e “d” a “h”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15.2.4.4. Multa compensatória de 0,5% (cinco décimos por cento) a 30% (trinta por cento) incidente sobre o valor do contrato, para a inexecução total do contrato, descrita na alínea “c” do subitem 15.1;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15.3. Eventuais multas por atraso na apresentação, suplementação ou reposição da garantia estão previstas na cláusula de garantia, aplicando as disposições da presente cláusula subsidiariamente.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15.4. Em caso de reincidência, as multas serão aplicadas novamente, mas o valor total das multas aplicadas não poderá exceder o limite de 30% (trinta por cento) sobre o valor total do Contrato.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15.5.A aplicação das sanções previstas neste Contrato não exclui, em hipótese alguma, a obrigação de reparação integral do dano causado ao Contratante.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15.6. A penalidade de multa pode ser aplicada cumulativamente com as demais sanções, na forma do art. 156, § 7º,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15.7. Na aplicação das sanções serão considerados: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a) a natureza e a gravidade da infração cometida;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b) as peculiaridades do caso concreto;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c) as circunstâncias agravantes ou atenuantes;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d) os danos que dela provierem para o Contratante;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e) a implantação ou o aperfeiçoamento de programa de integridade, conforme normas e orientações dos órgãos de controle.</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15.8. Antes da aplicação da multa será facultada a defesa do interessado no prazo de 15 (quinze) dias úteis, contado da data de sua intimação.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15.9. A aplicação das sanções realizar-se-á em processo administrativo que assegure o contraditório e a ampla defesa ao Contratado, observando-se o procedimento previsto no Decreto Municipal nº 43.665/2023, caput e parágrafos do art. 158 da Lei 14.133/2021 para as penalidades de impedimento de licitar e contratar e de declaração de inidoneidade para licitar ou contratar, assim como as seguintes regras:</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15.9.1. Antes da aplicação de qualquer sanção administrativa, a Administração deverá notificar o contratado, facultando-lhe a apresentação de defesa prévia;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15.9.2. A notificação deverá ocorrer pessoalmente, eletronicamente, com confirmação de recebimento, ou por correspondência com aviso de recebimento, indicando, no mínimo: a conduta reputada como infratora, a motivação para aplicação da penalidade, a sanção que se pretende aplicar, o prazo e o local de entrega das razões de defesa;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15.9.3. O prazo para apresentação de defesa prévia será de 15 (quinze) dias úteis e serão contados na forma do art. 183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15.9.4. O contratado comunicará ao órgão promotor do certame as mudanças de endereço ocorridas no curso do processo licitatório e da vigência do contrato, considerando-se eficazes as notificações enviadas ao local anteriormente indicado, na ausência da comunicação;</w:t>
      </w:r>
    </w:p>
    <w:p>
      <w:pPr>
        <w:pStyle w:val="ListParagraph"/>
        <w:tabs>
          <w:tab w:val="clear" w:pos="720"/>
          <w:tab w:val="left" w:pos="702" w:leader="none"/>
        </w:tabs>
        <w:ind w:left="0" w:hanging="0"/>
        <w:rPr>
          <w:rFonts w:ascii="Arial" w:hAnsi="Arial" w:cs="Arial"/>
        </w:rPr>
      </w:pPr>
      <w:r>
        <w:rPr>
          <w:rFonts w:cs="Arial" w:ascii="Arial" w:hAnsi="Arial"/>
        </w:rPr>
      </w:r>
    </w:p>
    <w:p>
      <w:pPr>
        <w:pStyle w:val="ListParagraph"/>
        <w:tabs>
          <w:tab w:val="clear" w:pos="720"/>
          <w:tab w:val="left" w:pos="702" w:leader="none"/>
        </w:tabs>
        <w:ind w:left="0" w:hanging="0"/>
        <w:rPr/>
      </w:pPr>
      <w:r>
        <w:rPr>
          <w:rFonts w:cs="Arial" w:ascii="Arial" w:hAnsi="Arial"/>
        </w:rPr>
        <w:t>15.9.5. Ofertada a defesa prévia ou expirado o prazo sem que ocorra a sua apresentação, a Administração proferirá decisão fundamentada e adotará as medidas legais cabíveis, resguardado o direito de recurso, que deverá ser exercido nos termos da Lei 14.133/2021 e do Decreto Municipal nº 43.665/2023;</w:t>
      </w:r>
    </w:p>
    <w:p>
      <w:pPr>
        <w:pStyle w:val="ListParagraph"/>
        <w:tabs>
          <w:tab w:val="clear" w:pos="720"/>
          <w:tab w:val="left" w:pos="702" w:leader="none"/>
        </w:tabs>
        <w:ind w:left="0" w:hanging="0"/>
        <w:rPr/>
      </w:pPr>
      <w:r>
        <w:rPr>
          <w:rFonts w:cs="Arial" w:ascii="Arial" w:hAnsi="Arial"/>
        </w:rPr>
        <w:t>15.10. Os atos previstos como infrações administrativas na Lei 14.133/2021, no Decreto Municipal nº 43.665/2023 ou em outras leis de licitações e contratos da Administração Pública que também sejam tipificados como atos lesivos na Lei 12.846/2013, serão apurados e julgados conjuntamente, nos mesmos autos, observados o rito procedimental e autoridade competente definidos na referida Legislação;</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15.11.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15.12.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15.13. As sanções de impedimento de licitar e contratar e declaração de inidoneidade para licitar ou contratar são passíveis de reabilitação, na forma do art. 163 da Lei 14.133/2021.</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15.14. Os débitos relativos a multas moratória e compensatória e as indenizações cabíveis poderão ser descontados dos valores devidos pela Administração ao contratado e, se insuficientes, a diferença poderá ser descontada da garantia prestada ou ser objeto de cobrança judicial.</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15.14.1. Os débitos do contratado para com a Administração contratante poderão ser compensados, total ou parcialmente, com os créditos decorrentes de outros contratos administrativos que o contratado possua com o Município de Aracruz.</w:t>
      </w:r>
    </w:p>
    <w:p>
      <w:pPr>
        <w:pStyle w:val="ListParagraph"/>
        <w:tabs>
          <w:tab w:val="clear" w:pos="720"/>
          <w:tab w:val="left" w:pos="702" w:leader="none"/>
        </w:tabs>
        <w:ind w:left="0" w:hanging="0"/>
        <w:rPr>
          <w:rFonts w:ascii="Arial" w:hAnsi="Arial"/>
        </w:rPr>
      </w:pPr>
      <w:r>
        <w:rPr>
          <w:rFonts w:ascii="Arial" w:hAnsi="Arial"/>
        </w:rPr>
      </w:r>
    </w:p>
    <w:p>
      <w:pPr>
        <w:pStyle w:val="ListParagraph"/>
        <w:tabs>
          <w:tab w:val="clear" w:pos="720"/>
          <w:tab w:val="left" w:pos="702" w:leader="none"/>
        </w:tabs>
        <w:ind w:left="0" w:hanging="0"/>
        <w:rPr/>
      </w:pPr>
      <w:r>
        <w:rPr>
          <w:rFonts w:cs="Arial" w:ascii="Arial" w:hAnsi="Arial"/>
        </w:rPr>
        <w:t>15.15. Sem prejuízo da aplicação das sanções acima descritas, a prática de quaisquer atos lesivos à administração pública na licitação ou na execução do contrato, nos termos da Lei 12.846/2013, Lei nº 14.133/21 e Decreto Municipal nº 43.665/2023.</w:t>
      </w:r>
      <w:bookmarkStart w:id="30" w:name="_Hlk199323298"/>
      <w:bookmarkEnd w:id="30"/>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16. CLAUSULA</w:t>
      </w:r>
      <w:r>
        <w:rPr>
          <w:spacing w:val="-8"/>
          <w:sz w:val="22"/>
          <w:szCs w:val="22"/>
        </w:rPr>
        <w:t xml:space="preserve"> </w:t>
      </w:r>
      <w:r>
        <w:rPr>
          <w:sz w:val="22"/>
          <w:szCs w:val="22"/>
        </w:rPr>
        <w:t>DÉCIMA</w:t>
      </w:r>
      <w:r>
        <w:rPr>
          <w:spacing w:val="-9"/>
          <w:sz w:val="22"/>
          <w:szCs w:val="22"/>
        </w:rPr>
        <w:t xml:space="preserve"> </w:t>
      </w:r>
      <w:r>
        <w:rPr>
          <w:sz w:val="22"/>
          <w:szCs w:val="22"/>
        </w:rPr>
        <w:t>SEXTA</w:t>
      </w:r>
      <w:r>
        <w:rPr>
          <w:spacing w:val="-9"/>
          <w:sz w:val="22"/>
          <w:szCs w:val="22"/>
        </w:rPr>
        <w:t xml:space="preserve"> </w:t>
      </w:r>
      <w:r>
        <w:rPr>
          <w:sz w:val="22"/>
          <w:szCs w:val="22"/>
        </w:rPr>
        <w:t>-</w:t>
      </w:r>
      <w:r>
        <w:rPr>
          <w:spacing w:val="-3"/>
          <w:sz w:val="22"/>
          <w:szCs w:val="22"/>
        </w:rPr>
        <w:t xml:space="preserve">  DAS </w:t>
      </w:r>
      <w:r>
        <w:rPr>
          <w:sz w:val="22"/>
          <w:szCs w:val="22"/>
        </w:rPr>
        <w:t>CONDIÇÕES</w:t>
      </w:r>
      <w:r>
        <w:rPr>
          <w:spacing w:val="-2"/>
          <w:sz w:val="22"/>
          <w:szCs w:val="22"/>
        </w:rPr>
        <w:t xml:space="preserve"> </w:t>
      </w:r>
      <w:r>
        <w:rPr>
          <w:sz w:val="22"/>
          <w:szCs w:val="22"/>
        </w:rPr>
        <w:t>DE</w:t>
      </w:r>
      <w:r>
        <w:rPr>
          <w:spacing w:val="-2"/>
          <w:sz w:val="22"/>
          <w:szCs w:val="22"/>
        </w:rPr>
        <w:t xml:space="preserve"> </w:t>
      </w:r>
      <w:r>
        <w:rPr>
          <w:sz w:val="22"/>
          <w:szCs w:val="22"/>
        </w:rPr>
        <w:t>REALIZAÇÃO</w:t>
      </w:r>
      <w:r>
        <w:rPr>
          <w:spacing w:val="-1"/>
          <w:sz w:val="22"/>
          <w:szCs w:val="22"/>
        </w:rPr>
        <w:t xml:space="preserve"> </w:t>
      </w:r>
      <w:r>
        <w:rPr>
          <w:sz w:val="22"/>
          <w:szCs w:val="22"/>
        </w:rPr>
        <w:t>DOS</w:t>
      </w:r>
      <w:r>
        <w:rPr>
          <w:spacing w:val="-2"/>
          <w:sz w:val="22"/>
          <w:szCs w:val="22"/>
        </w:rPr>
        <w:t xml:space="preserve"> </w:t>
      </w:r>
      <w:r>
        <w:rPr>
          <w:sz w:val="22"/>
          <w:szCs w:val="22"/>
        </w:rPr>
        <w:t>SERVIÇOS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16.1. A Contratada obriga-se a manter a disposição da contratante, profissional habilitado para execução e acompanhamento dos serviços ora solicitados, o qual deverá emitir ART – Anotação de Responsabilidade Técnica ou RRT – Registro de Responsabilidade Técnica, pela execução dos serviços.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 Poderá a SEMOB, a seu critério, exigir a demolição e reconstrução de qualquer parte dos serviços, caso estes tenham sido executados com imperícia técnica ou em desacordo com o Projeto, Norma e Especificações Técnicas</w:t>
      </w:r>
    </w:p>
    <w:p>
      <w:pPr>
        <w:pStyle w:val="ListParagraph"/>
        <w:tabs>
          <w:tab w:val="clear" w:pos="720"/>
          <w:tab w:val="left" w:pos="682" w:leader="none"/>
        </w:tabs>
        <w:ind w:left="0" w:hanging="0"/>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16.3. Todos os serviços realizados pela CONTRATADA deverão ser listados formalmente em um Boletim de Ocorrência, ou Diário de Obra, onde constem, no mínimo, as seguintes informações: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a) Data do serviço;</w:t>
      </w:r>
      <w:r>
        <w:rPr>
          <w:rFonts w:ascii="Arial" w:hAnsi="Arial"/>
        </w:rPr>
        <w:t xml:space="preserve">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b) Dia da Semana;</w:t>
      </w:r>
      <w:r>
        <w:rPr>
          <w:rFonts w:ascii="Arial" w:hAnsi="Arial"/>
        </w:rPr>
        <w:t xml:space="preserve"> </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c) Serviço Realizado;</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d) Pendências;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rPr>
        <w:t>e) j</w:t>
      </w:r>
      <w:r>
        <w:rPr>
          <w:rFonts w:ascii="Arial" w:hAnsi="Arial"/>
          <w:color w:val="000009"/>
        </w:rPr>
        <w:t>ustificativa das Pendências.</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16.4. Este documento deverá estar assinado pelo Responsável Técnico pela execução dos serviços e, em concordância, pela fiscalização da obra.</w:t>
      </w:r>
    </w:p>
    <w:p>
      <w:pPr>
        <w:pStyle w:val="Normal"/>
        <w:tabs>
          <w:tab w:val="clear" w:pos="720"/>
          <w:tab w:val="left" w:pos="682" w:leader="none"/>
        </w:tabs>
        <w:jc w:val="both"/>
        <w:rPr/>
      </w:pPr>
      <w:r>
        <w:rPr/>
      </w:r>
    </w:p>
    <w:p>
      <w:pPr>
        <w:pStyle w:val="Normal"/>
        <w:tabs>
          <w:tab w:val="clear" w:pos="720"/>
          <w:tab w:val="left" w:pos="682" w:leader="none"/>
        </w:tabs>
        <w:jc w:val="both"/>
        <w:rPr/>
      </w:pPr>
      <w:r>
        <w:rPr>
          <w:rFonts w:ascii="Arial" w:hAnsi="Arial"/>
          <w:color w:val="000009"/>
        </w:rPr>
        <w:t>16.5. O Diário de Obra deverá conter espaço, para comentários/justificativas, pelo executor dos serviços e outro para a fiscalização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16.6. A Contratada será responsável pela vigilância no local da execução da obra.</w:t>
      </w:r>
    </w:p>
    <w:p>
      <w:pPr>
        <w:pStyle w:val="Normal"/>
        <w:tabs>
          <w:tab w:val="clear" w:pos="720"/>
          <w:tab w:val="left" w:pos="682" w:leader="none"/>
        </w:tabs>
        <w:jc w:val="both"/>
        <w:rPr>
          <w:rFonts w:ascii="Arial" w:hAnsi="Arial" w:eastAsia="Arial" w:cs="Arial"/>
          <w:b/>
          <w:b/>
          <w:bCs/>
          <w:spacing w:val="-2"/>
        </w:rPr>
      </w:pPr>
      <w:r>
        <w:rPr>
          <w:rFonts w:eastAsia="Arial" w:cs="Arial" w:ascii="Arial" w:hAnsi="Arial"/>
          <w:b/>
          <w:bCs/>
          <w:spacing w:val="-2"/>
        </w:rPr>
      </w:r>
    </w:p>
    <w:p>
      <w:pPr>
        <w:pStyle w:val="Normal"/>
        <w:tabs>
          <w:tab w:val="clear" w:pos="720"/>
          <w:tab w:val="left" w:pos="682" w:leader="none"/>
        </w:tabs>
        <w:jc w:val="both"/>
        <w:rPr/>
      </w:pPr>
      <w:r>
        <w:rPr>
          <w:rFonts w:ascii="Arial" w:hAnsi="Arial"/>
          <w:color w:val="000009"/>
        </w:rPr>
        <w:t>16.7. Durante a execução da obra, a CONTRATADA deverá sempre preservar a limpeza e a organização sobre todos os aspectos. A obra deverá ser entregue livre de empecilhos de qualquer natureza, que possa prejudicar, ainda que minimamente, a sua funcionalidade.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16.8. Os entulhos, restos de materiais e outros equipamentos pertinentes à execução dos serviços deverão ser totalmente removidos no término dos mesmos, e gerenciados em conformidade com o disposto no art. 10 da Resolução CONAMA 307/2002.</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16.9. Os materiais empregados na obra, a serem fornecidos pela CONTRATADA, serão previamente submetidos à fiscalização para exame e aprovação e deverão ser comprovadamente de boa qualidade.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16.10. A mão de obra a ser utilizada deverá ser com pessoal tecnicamente capaz e conhecedor de suas funções, objetivando-se com isso, obter o melhor resultado possível.</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16.11. Os serviços a serem executados compreendem: fornecimento de mão de obra, material, equipamentos, maquinário, ou quaisquer outros necessários às Obras.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16.12. Os serviços deverão ser prestados de forma ininterrupta nos dias úteis, devendo se necessário, e autorizado previamente pela Secretaria Municipal de Obras e Infraestrutura, ser estendido ao horário noturno ou em feriados e finais de semana.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16.13. Máquinas e equipamentos deverão estar devidamente identificados.</w:t>
      </w:r>
    </w:p>
    <w:p>
      <w:pPr>
        <w:pStyle w:val="Normal"/>
        <w:tabs>
          <w:tab w:val="clear" w:pos="720"/>
          <w:tab w:val="left" w:pos="682" w:leader="none"/>
        </w:tabs>
        <w:jc w:val="both"/>
        <w:rPr/>
      </w:pPr>
      <w:r>
        <w:rPr>
          <w:rFonts w:ascii="Arial" w:hAnsi="Arial"/>
          <w:color w:val="000009"/>
        </w:rPr>
        <w:t>16.14. Os serviços para execução da obra, poderão a critério da SEMOB, ser deslocados para outros horários, (noturno ou dias não úteis) caso sua realização possa acarretar prejuízos ao normal desenvolvimento dos trabalhos ou impossibilitar as atividades de atendimento aos moradores locais.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16.15. Para a fiel execução dos serviços ora licitados, além dos projetos, composições de custos, memória de cálculo e planilha orçamentária, deverão também ser atendidas as recomendações técnicas da Associação Brasileira de Normas Técnicas – ABNT, quanto à qualidade dos materiais e mão-de-obra empregados na execução dos serviços.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16.16. Caberá a empresa CONTRATADA responsabilidade integral por todos os serviços, durante o prazo previsto em lei, a contar da data de entrega definitiva da obra.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16.17. Excluir-se-ão da presente responsabilidade, defeitos, estragos, quebras ou falhas provocadas decorrentes do mau uso das instalações em questão.</w:t>
      </w:r>
    </w:p>
    <w:p>
      <w:pPr>
        <w:pStyle w:val="Normal"/>
        <w:tabs>
          <w:tab w:val="clear" w:pos="720"/>
          <w:tab w:val="left" w:pos="682" w:leader="none"/>
        </w:tabs>
        <w:jc w:val="both"/>
        <w:rPr>
          <w:rFonts w:ascii="Arial" w:hAnsi="Arial"/>
        </w:rPr>
      </w:pPr>
      <w:r>
        <w:rPr>
          <w:rFonts w:ascii="Arial" w:hAnsi="Arial"/>
        </w:rPr>
      </w:r>
    </w:p>
    <w:p>
      <w:pPr>
        <w:pStyle w:val="Normal"/>
        <w:tabs>
          <w:tab w:val="clear" w:pos="720"/>
          <w:tab w:val="left" w:pos="682" w:leader="none"/>
        </w:tabs>
        <w:jc w:val="both"/>
        <w:rPr/>
      </w:pPr>
      <w:r>
        <w:rPr>
          <w:rFonts w:ascii="Arial" w:hAnsi="Arial"/>
          <w:color w:val="000009"/>
        </w:rPr>
        <w:t>16.18. Não será permitido o início das diversas etapas sem serem observadas as recomendações previstas na legislação vigente.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16.19. A CONTRATADA deverá fornecer aos seus empregados e subcontratados (se houver) uniformes, bem como todos os equipamentos de proteção individual e coletiva, necessários à execução dos serviços, de acordo com as leis, normas e portarias que regulam a segurança do trabalho, responsabilizando-se pela efetiva utilização dos mesmos.</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16.20. No ato da emissão da Ordem de Serviço, a SEMOB, a empresa prestadora de serviços técnicos profissionais especializados – assessoria técnica e a empresa vencedora do Certame analisarão em conjunto o Plano de Ataque definido no Caderno de Encargos e o Cronograma Físico Financeiro da obra, objetivando a aplicação das melhores práticas no âmbito da engenharia. Contudo, caso ocorra algum fato ou acontecimento que a empresa CONTRATADA suscite e justifique a alteração/ adequação do Plano de Ataque e do Cronograma, as partes envolvidas deverão tratar o caso no intuito de dar a solução mais vantajosa e eficiente para a Administração, sem alterar o prazo de execução e vigência contratual.</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16.21. Os projetos e especificações, deverão ser examinados com o máximo cuidado pela CONTRATADA, e em todos os casos omissos ou suscetíveis à dúvida, deverá a CONTRATADA recorrer à FISCALIZAÇÃO para melhores esclarecimentos ou orientação, sendo as decisões finais comunicadas sempre por escrito.</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16.22. As eventuais modificações no projeto, ou substituições dos materiais especificados, poderão ser aceitas desde que solicitadas por escrito, com explicações muito bem embasadas pela CONTRATADA e sua aprovação dependerá de análise por parte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16.23. Todos os serviços contratados só serão recebidos, após devidamente atestados por técnicos e/ou engenheiros da contratada na presença da FISCALIZAÇÃO da CONTRATANTE.</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16.24. A CONTRATADA deverá garantir que serão prontamente reparadas e substituídas, à sua própria custa, todas as partes que acusarem defeito ou quaisquer anormalidades durante o período de garantia.</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 xml:space="preserve">16.25. Os serviços, materiais e transportes necessários à correção de anormalidades, apresentados dentro do prazo de garantia, correrão por conta da CONTRATADA. </w:t>
      </w:r>
    </w:p>
    <w:p>
      <w:pPr>
        <w:pStyle w:val="Normal"/>
        <w:tabs>
          <w:tab w:val="clear" w:pos="720"/>
          <w:tab w:val="left" w:pos="682" w:leader="none"/>
        </w:tabs>
        <w:jc w:val="both"/>
        <w:rPr>
          <w:rFonts w:ascii="Arial" w:hAnsi="Arial"/>
          <w:color w:val="000009"/>
        </w:rPr>
      </w:pPr>
      <w:r>
        <w:rPr>
          <w:rFonts w:ascii="Arial" w:hAnsi="Arial"/>
          <w:color w:val="000009"/>
        </w:rPr>
      </w:r>
    </w:p>
    <w:p>
      <w:pPr>
        <w:pStyle w:val="Normal"/>
        <w:tabs>
          <w:tab w:val="clear" w:pos="720"/>
          <w:tab w:val="left" w:pos="682" w:leader="none"/>
        </w:tabs>
        <w:jc w:val="both"/>
        <w:rPr/>
      </w:pPr>
      <w:r>
        <w:rPr>
          <w:rFonts w:ascii="Arial" w:hAnsi="Arial"/>
          <w:color w:val="000009"/>
        </w:rPr>
        <w:t>16.26. A CONTRATADA deverá responder, ressalvadas as hipóteses legais de caso fortuito ou de força maior, por todo e qualquer prejuízo que, em decorrência da execução deste objeto, for causado aos imóveis, mobiliários, equipamentos e demais pertences da CONTRATANTE, ficando certo que os prejuízos eventualmente causados serão ressarcidos à CONTRATANTE.</w:t>
      </w:r>
    </w:p>
    <w:p>
      <w:pPr>
        <w:pStyle w:val="Ttulo1"/>
        <w:ind w:left="0" w:hanging="0"/>
        <w:jc w:val="both"/>
        <w:rPr>
          <w:sz w:val="22"/>
          <w:szCs w:val="22"/>
        </w:rPr>
      </w:pPr>
      <w:r>
        <w:rPr>
          <w:sz w:val="22"/>
          <w:szCs w:val="22"/>
        </w:rPr>
      </w:r>
    </w:p>
    <w:p>
      <w:pPr>
        <w:pStyle w:val="Ttulo1"/>
        <w:ind w:left="0" w:hanging="0"/>
        <w:jc w:val="both"/>
        <w:rPr/>
      </w:pPr>
      <w:r>
        <w:rPr/>
      </w:r>
    </w:p>
    <w:p>
      <w:pPr>
        <w:pStyle w:val="Ttulo1"/>
        <w:ind w:left="0" w:hanging="0"/>
        <w:jc w:val="both"/>
        <w:rPr/>
      </w:pPr>
      <w:r>
        <w:rPr>
          <w:spacing w:val="-1"/>
          <w:sz w:val="22"/>
          <w:szCs w:val="22"/>
        </w:rPr>
        <w:t xml:space="preserve">17. CLAUSULA DÉCIMA SÉTIMA – DAS ESPECIFICAÇÕES TÉCNICAS </w:t>
      </w:r>
    </w:p>
    <w:p>
      <w:pPr>
        <w:pStyle w:val="Ttulo1"/>
        <w:ind w:left="0" w:hanging="0"/>
        <w:jc w:val="both"/>
        <w:rPr>
          <w:spacing w:val="-1"/>
        </w:rPr>
      </w:pPr>
      <w:r>
        <w:rPr>
          <w:spacing w:val="-1"/>
        </w:rPr>
      </w:r>
    </w:p>
    <w:p>
      <w:pPr>
        <w:pStyle w:val="Ttulo1"/>
        <w:ind w:left="0" w:hanging="0"/>
        <w:jc w:val="both"/>
        <w:rPr/>
      </w:pPr>
      <w:r>
        <w:rPr>
          <w:b w:val="false"/>
          <w:bCs w:val="false"/>
          <w:spacing w:val="-1"/>
          <w:sz w:val="22"/>
          <w:szCs w:val="22"/>
        </w:rPr>
        <w:t xml:space="preserve">17.1. A Contratada se obrigará a executar as obras, empregando exclusivamente materiais de primeira qualidade e obedecendo, rigorosamente, aos Levantamento Topográfico, Projeto Geométrico, Terraplanagem, Drenagem, Pavimentação, Sinalização, Obras Complementares e Iluminação Pública, bem como às Normas e Especificações Técnicas Vigentes (tais quais normas da ABNT – Associação Brasileira de Normas Técnicas, DNIT – Departamento Nacional de Infraestrutura de Transportes e orientações técnicas do IBRAOP – Instituto Brasileiro de Auditoria de Obras Públicas). </w:t>
      </w:r>
    </w:p>
    <w:p>
      <w:pPr>
        <w:pStyle w:val="Ttulo1"/>
        <w:ind w:left="0" w:hanging="0"/>
        <w:jc w:val="both"/>
        <w:rPr>
          <w:spacing w:val="-1"/>
        </w:rPr>
      </w:pPr>
      <w:r>
        <w:rPr>
          <w:spacing w:val="-1"/>
        </w:rPr>
      </w:r>
    </w:p>
    <w:p>
      <w:pPr>
        <w:pStyle w:val="Ttulo1"/>
        <w:ind w:left="0" w:hanging="0"/>
        <w:jc w:val="both"/>
        <w:rPr/>
      </w:pPr>
      <w:r>
        <w:rPr>
          <w:b w:val="false"/>
          <w:bCs w:val="false"/>
          <w:spacing w:val="-1"/>
          <w:sz w:val="22"/>
          <w:szCs w:val="22"/>
        </w:rPr>
        <w:t xml:space="preserve">17.2. Os procedimentos executivos detalhados, identificando os tipos de serviços a serem executados e os materiais e equipamentos a incorporar à obra, bem como seus quantitativos e custos unitários, e demais especificações técnicas, encontram-se nos VOLUME 1 – RELATÓRIO DE PROJETO, VOLUME 2 – PROJETO EXECUTIVO, VOLUME 3 – NOTAS DE SERVIÇO e VOLUME 4 – ORÇAMENTO. </w:t>
      </w:r>
    </w:p>
    <w:p>
      <w:pPr>
        <w:pStyle w:val="Ttulo1"/>
        <w:ind w:left="0" w:hanging="0"/>
        <w:jc w:val="both"/>
        <w:rPr/>
      </w:pPr>
      <w:r>
        <w:rPr/>
      </w:r>
    </w:p>
    <w:p>
      <w:pPr>
        <w:pStyle w:val="Ttulo1"/>
        <w:ind w:left="0" w:hanging="0"/>
        <w:jc w:val="both"/>
        <w:rPr/>
      </w:pPr>
      <w:r>
        <w:rPr>
          <w:b w:val="false"/>
          <w:bCs w:val="false"/>
          <w:spacing w:val="-1"/>
          <w:sz w:val="22"/>
          <w:szCs w:val="22"/>
        </w:rPr>
        <w:t xml:space="preserve">17.3. O material técnico disponibilizado foi desenvolvido de forma a fornecer visão global da obra/serviços, identificando todos seus elementos constitutivos com clareza, apresentando soluções técnicas detalhadas, de forma a minimizar a necessidade de reformulação ou de variantes durante sua execução, contudo todo projeto é passivo de interferências, não se descartando a necessidade de compatibilizações dos mesmos no momento das realizações dos serviços. </w:t>
      </w:r>
    </w:p>
    <w:p>
      <w:pPr>
        <w:pStyle w:val="Ttulo1"/>
        <w:ind w:left="0" w:hanging="0"/>
        <w:jc w:val="both"/>
        <w:rPr>
          <w:spacing w:val="-1"/>
        </w:rPr>
      </w:pPr>
      <w:r>
        <w:rPr>
          <w:spacing w:val="-1"/>
        </w:rPr>
      </w:r>
    </w:p>
    <w:p>
      <w:pPr>
        <w:pStyle w:val="Ttulo1"/>
        <w:ind w:left="0" w:hanging="0"/>
        <w:jc w:val="both"/>
        <w:rPr/>
      </w:pPr>
      <w:r>
        <w:rPr>
          <w:b w:val="false"/>
          <w:bCs w:val="false"/>
          <w:spacing w:val="-1"/>
          <w:sz w:val="22"/>
          <w:szCs w:val="22"/>
        </w:rPr>
        <w:t xml:space="preserve">17.4. </w:t>
      </w:r>
      <w:bookmarkStart w:id="31" w:name="_Hlk199319040"/>
      <w:bookmarkEnd w:id="31"/>
      <w:r>
        <w:rPr>
          <w:b w:val="false"/>
          <w:bCs w:val="false"/>
          <w:spacing w:val="-1"/>
          <w:sz w:val="22"/>
          <w:szCs w:val="22"/>
        </w:rPr>
        <w:t xml:space="preserve">Deverão ser analisados para composição dos respectivos custos (produtividade x operacionalidade x equipamentos de produção), considerando as técnicas executivas propostas e a equipe para execução dos serviços. </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18. CLÁUSULA</w:t>
      </w:r>
      <w:r>
        <w:rPr>
          <w:spacing w:val="-9"/>
          <w:sz w:val="22"/>
          <w:szCs w:val="22"/>
        </w:rPr>
        <w:t xml:space="preserve"> DÉCIMA OITAVA</w:t>
      </w:r>
      <w:r>
        <w:rPr>
          <w:spacing w:val="-11"/>
          <w:sz w:val="22"/>
          <w:szCs w:val="22"/>
        </w:rPr>
        <w:t xml:space="preserve"> </w:t>
      </w:r>
      <w:r>
        <w:rPr>
          <w:sz w:val="22"/>
          <w:szCs w:val="22"/>
        </w:rPr>
        <w:t>–</w:t>
      </w:r>
      <w:r>
        <w:rPr>
          <w:spacing w:val="-3"/>
          <w:sz w:val="22"/>
          <w:szCs w:val="22"/>
        </w:rPr>
        <w:t xml:space="preserve"> </w:t>
      </w:r>
      <w:r>
        <w:rPr>
          <w:sz w:val="22"/>
          <w:szCs w:val="22"/>
        </w:rPr>
        <w:t>DO</w:t>
      </w:r>
      <w:r>
        <w:rPr>
          <w:spacing w:val="-4"/>
          <w:sz w:val="22"/>
          <w:szCs w:val="22"/>
        </w:rPr>
        <w:t xml:space="preserve"> </w:t>
      </w:r>
      <w:r>
        <w:rPr>
          <w:color w:val="000009"/>
          <w:sz w:val="22"/>
          <w:szCs w:val="22"/>
        </w:rPr>
        <w:t>RECEBIMENTO</w:t>
      </w:r>
      <w:r>
        <w:rPr>
          <w:color w:val="000009"/>
          <w:spacing w:val="-4"/>
          <w:sz w:val="22"/>
          <w:szCs w:val="22"/>
        </w:rPr>
        <w:t xml:space="preserve"> </w:t>
      </w:r>
      <w:r>
        <w:rPr>
          <w:color w:val="000009"/>
          <w:sz w:val="22"/>
          <w:szCs w:val="22"/>
        </w:rPr>
        <w:t>DOS</w:t>
      </w:r>
      <w:r>
        <w:rPr>
          <w:color w:val="000009"/>
          <w:spacing w:val="-3"/>
          <w:sz w:val="22"/>
          <w:szCs w:val="22"/>
        </w:rPr>
        <w:t xml:space="preserve"> </w:t>
      </w:r>
      <w:r>
        <w:rPr>
          <w:color w:val="000009"/>
          <w:sz w:val="22"/>
          <w:szCs w:val="22"/>
        </w:rPr>
        <w:t>SERVIÇOS</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pPr>
      <w:r>
        <w:rPr>
          <w:rFonts w:cs="Arial" w:ascii="Arial" w:hAnsi="Arial"/>
        </w:rPr>
        <w:t xml:space="preserve">18.1. Os serviços serão recebidos provisoriamente através do responsável pelo seu acompanhamento e fiscalização, mediante Termo de Recebimento Provisório, assinado pelas partes em até 15 (quinze) dias úteis da comunicação escrita pelo Contratado.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pPr>
      <w:r>
        <w:rPr>
          <w:rFonts w:cs="Arial" w:ascii="Arial" w:hAnsi="Arial"/>
        </w:rPr>
        <w:t xml:space="preserve">18.2. A aceitação definitiva dos serviços contratados se efetuará, mediante Termo de Recebimento Definitivo assinado pelas partes, no prazo máximo de 90 (noventa) dias úteis após a emissão do Termo de Recebimento Provisório.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pPr>
      <w:r>
        <w:rPr>
          <w:rFonts w:cs="Arial" w:ascii="Arial" w:hAnsi="Arial"/>
        </w:rPr>
        <w:t xml:space="preserve">18.3. O objeto do contrato poderá ser rejeitado, no todo ou em parte, quando estiver em desacordo com o contrato (art. 140, §1º, da Lei 14.133/2021).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pPr>
      <w:r>
        <w:rPr>
          <w:rFonts w:cs="Arial" w:ascii="Arial" w:hAnsi="Arial"/>
        </w:rPr>
        <w:t xml:space="preserve">18.4. A eventual aceitação dos serviços pelo Contratante não eximirá a Contratada de responsabilidade de quaisquer erros, imperfeições ou vícios que eventualmente venham a se verificar posteriormente, circunstância em que as despesas de conserto ou modificação correrão por conta exclusiva da contratada. </w:t>
      </w:r>
    </w:p>
    <w:p>
      <w:pPr>
        <w:pStyle w:val="ListParagraph"/>
        <w:tabs>
          <w:tab w:val="clear" w:pos="720"/>
          <w:tab w:val="left" w:pos="632" w:leader="none"/>
        </w:tabs>
        <w:ind w:left="0" w:hanging="0"/>
        <w:rPr>
          <w:rFonts w:ascii="Arial" w:hAnsi="Arial" w:cs="Arial"/>
        </w:rPr>
      </w:pPr>
      <w:r>
        <w:rPr>
          <w:rFonts w:cs="Arial" w:ascii="Arial" w:hAnsi="Arial"/>
        </w:rPr>
      </w:r>
    </w:p>
    <w:p>
      <w:pPr>
        <w:pStyle w:val="ListParagraph"/>
        <w:tabs>
          <w:tab w:val="clear" w:pos="720"/>
          <w:tab w:val="left" w:pos="632" w:leader="none"/>
        </w:tabs>
        <w:ind w:left="0" w:hanging="0"/>
        <w:rPr/>
      </w:pPr>
      <w:r>
        <w:rPr>
          <w:rFonts w:cs="Arial" w:ascii="Arial" w:hAnsi="Arial"/>
        </w:rPr>
        <w:t>18.5. O recebimento definitivo pela Administração não eximirá o contratado, pelo prazo mínimo de 5 (cinco) anos, da responsabilidade objetiva pela solidez e pela segurança dos materiais e dos serviços executados e pela funcionalidade da construção, da reforma, da recuperação ou da ampliação do bem imóvel, e, em caso de vício, defeito ou incorreção identificados, o contratado ficará responsável pela reparação, pela correção, pela reconstrução ou pela substituição necessárias (Art. 140, §6º, da Lei 14.133/2023).</w:t>
      </w:r>
    </w:p>
    <w:p>
      <w:pPr>
        <w:pStyle w:val="Ttulo1"/>
        <w:ind w:left="0" w:hanging="0"/>
        <w:rPr>
          <w:sz w:val="22"/>
          <w:szCs w:val="22"/>
        </w:rPr>
      </w:pPr>
      <w:r>
        <w:rPr>
          <w:sz w:val="22"/>
          <w:szCs w:val="22"/>
        </w:rPr>
      </w:r>
    </w:p>
    <w:p>
      <w:pPr>
        <w:pStyle w:val="Ttulo1"/>
        <w:ind w:left="0" w:hanging="0"/>
        <w:rPr>
          <w:sz w:val="22"/>
          <w:szCs w:val="22"/>
        </w:rPr>
      </w:pPr>
      <w:r>
        <w:rPr>
          <w:sz w:val="22"/>
          <w:szCs w:val="22"/>
        </w:rPr>
      </w:r>
    </w:p>
    <w:p>
      <w:pPr>
        <w:pStyle w:val="Ttulo1"/>
        <w:ind w:left="0" w:hanging="0"/>
        <w:rPr/>
      </w:pPr>
      <w:r>
        <w:rPr>
          <w:sz w:val="22"/>
          <w:szCs w:val="22"/>
        </w:rPr>
        <w:t>19. CLÁUSULA</w:t>
      </w:r>
      <w:r>
        <w:rPr>
          <w:spacing w:val="-9"/>
          <w:sz w:val="22"/>
          <w:szCs w:val="22"/>
        </w:rPr>
        <w:t xml:space="preserve"> DÉCIMA NONA</w:t>
      </w:r>
      <w:r>
        <w:rPr>
          <w:spacing w:val="-10"/>
          <w:sz w:val="22"/>
          <w:szCs w:val="22"/>
        </w:rPr>
        <w:t xml:space="preserve"> </w:t>
      </w:r>
      <w:r>
        <w:rPr>
          <w:sz w:val="22"/>
          <w:szCs w:val="22"/>
        </w:rPr>
        <w:t>–</w:t>
      </w:r>
      <w:r>
        <w:rPr>
          <w:spacing w:val="-4"/>
          <w:sz w:val="22"/>
          <w:szCs w:val="22"/>
        </w:rPr>
        <w:t xml:space="preserve"> CRITÉRIOS DE SUSTENTABILIDADE DO PROJETO E DA EXECUÇÃO DA OBRA</w:t>
      </w:r>
    </w:p>
    <w:p>
      <w:pPr>
        <w:pStyle w:val="Ttulo1"/>
        <w:ind w:left="0" w:hanging="0"/>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19.1. Com vistas ao atendimento ao princípio do desenvolvimento nacional sustentável, foram adotados nos projetos elaborados e deverão ser observados, na execução da obra, os seguintes critérios de sustentabilidade: </w:t>
      </w:r>
    </w:p>
    <w:p>
      <w:pPr>
        <w:pStyle w:val="Ttulo1"/>
        <w:ind w:left="0" w:hanging="0"/>
        <w:rPr>
          <w:spacing w:val="-4"/>
          <w:sz w:val="22"/>
          <w:szCs w:val="22"/>
        </w:rPr>
      </w:pPr>
      <w:r>
        <w:rPr>
          <w:spacing w:val="-4"/>
          <w:sz w:val="22"/>
          <w:szCs w:val="22"/>
        </w:rPr>
      </w:r>
    </w:p>
    <w:p>
      <w:pPr>
        <w:pStyle w:val="Ttulo1"/>
        <w:ind w:left="0" w:hanging="0"/>
        <w:rPr/>
      </w:pPr>
      <w:r>
        <w:rPr>
          <w:spacing w:val="-4"/>
          <w:sz w:val="22"/>
          <w:szCs w:val="22"/>
        </w:rPr>
        <w:t>19.1.1. Materiais, técnicas construtivas e insumos</w:t>
      </w:r>
    </w:p>
    <w:p>
      <w:pPr>
        <w:pStyle w:val="Ttulo1"/>
        <w:ind w:left="0" w:hanging="0"/>
        <w:rPr>
          <w:spacing w:val="-4"/>
          <w:sz w:val="22"/>
          <w:szCs w:val="22"/>
        </w:rPr>
      </w:pPr>
      <w:r>
        <w:rPr>
          <w:spacing w:val="-4"/>
          <w:sz w:val="22"/>
          <w:szCs w:val="22"/>
        </w:rPr>
      </w:r>
    </w:p>
    <w:p>
      <w:pPr>
        <w:pStyle w:val="Ttulo1"/>
        <w:ind w:left="0" w:hanging="0"/>
        <w:rPr>
          <w:b w:val="false"/>
          <w:b w:val="false"/>
          <w:bCs w:val="false"/>
        </w:rPr>
      </w:pPr>
      <w:r>
        <w:rPr>
          <w:b w:val="false"/>
          <w:bCs w:val="false"/>
          <w:spacing w:val="-4"/>
          <w:sz w:val="22"/>
          <w:szCs w:val="22"/>
        </w:rPr>
        <w:t xml:space="preserve">a) Preferência por materiais de origem ambientalmente regular, provenientes de fornecedores que cumpram normas ambientais e de segurança do trabalho. </w:t>
      </w:r>
    </w:p>
    <w:p>
      <w:pPr>
        <w:pStyle w:val="Ttulo1"/>
        <w:ind w:left="0" w:hanging="0"/>
        <w:rPr>
          <w:spacing w:val="-4"/>
          <w:sz w:val="22"/>
          <w:szCs w:val="22"/>
        </w:rPr>
      </w:pPr>
      <w:r>
        <w:rPr>
          <w:spacing w:val="-4"/>
          <w:sz w:val="22"/>
          <w:szCs w:val="22"/>
        </w:rPr>
      </w:r>
    </w:p>
    <w:p>
      <w:pPr>
        <w:pStyle w:val="Ttulo1"/>
        <w:ind w:left="0" w:hanging="0"/>
        <w:rPr>
          <w:b w:val="false"/>
          <w:b w:val="false"/>
          <w:bCs w:val="false"/>
        </w:rPr>
      </w:pPr>
      <w:r>
        <w:rPr>
          <w:b w:val="false"/>
          <w:bCs w:val="false"/>
          <w:spacing w:val="-4"/>
          <w:sz w:val="22"/>
          <w:szCs w:val="22"/>
        </w:rPr>
        <w:t xml:space="preserve">b) Estímulo à utilização de materiais reciclados, recicláveis ou de baixo impacto ambiental, como tintas à base de água e madeiras certificadas. </w:t>
      </w:r>
    </w:p>
    <w:p>
      <w:pPr>
        <w:pStyle w:val="Ttulo1"/>
        <w:ind w:left="0" w:hanging="0"/>
        <w:rPr>
          <w:spacing w:val="-4"/>
          <w:sz w:val="22"/>
          <w:szCs w:val="22"/>
        </w:rPr>
      </w:pPr>
      <w:r>
        <w:rPr>
          <w:spacing w:val="-4"/>
          <w:sz w:val="22"/>
          <w:szCs w:val="22"/>
        </w:rPr>
      </w:r>
    </w:p>
    <w:p>
      <w:pPr>
        <w:pStyle w:val="Ttulo1"/>
        <w:ind w:left="0" w:hanging="0"/>
        <w:rPr/>
      </w:pPr>
      <w:r>
        <w:rPr>
          <w:spacing w:val="-4"/>
          <w:sz w:val="22"/>
          <w:szCs w:val="22"/>
        </w:rPr>
        <w:t xml:space="preserve">19.1.2. Eficiência energética </w:t>
      </w:r>
    </w:p>
    <w:p>
      <w:pPr>
        <w:pStyle w:val="Ttulo1"/>
        <w:ind w:left="0" w:hanging="0"/>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Projeto de Iluminação Pública visando ao baixo consumo de energia, incluindo iluminação eficiente do tipo LED.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19.1.3. Gestão de resíduos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Implementação de plano de gerenciamento de resíduos da construção civil, em conformidade com a Resolução CONAMA nº 307.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Garantia de destinação final ambientalmente adequada dos resíduos sólidos, privilegiando reciclagem e reaproveitamento.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c) Previsão de logística reversa para materiais e embalagens, conforme legislação específica.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19.1.4. Impactos ambientais e licenciamento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Observância às exigências de licenciamento ambiental (quando aplicável), incluindo medidas de mitigação e compensação ambiental.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Minimização de impactos de vizinhança (ruídos, poeira, tráfego) durante a execução da obra. </w:t>
      </w:r>
    </w:p>
    <w:p>
      <w:pPr>
        <w:pStyle w:val="Ttulo1"/>
        <w:ind w:left="0" w:hanging="0"/>
        <w:jc w:val="both"/>
        <w:rPr>
          <w:spacing w:val="-4"/>
          <w:sz w:val="22"/>
          <w:szCs w:val="22"/>
        </w:rPr>
      </w:pPr>
      <w:r>
        <w:rPr>
          <w:spacing w:val="-4"/>
          <w:sz w:val="22"/>
          <w:szCs w:val="22"/>
        </w:rPr>
      </w:r>
    </w:p>
    <w:p>
      <w:pPr>
        <w:pStyle w:val="Ttulo1"/>
        <w:ind w:left="0" w:hanging="0"/>
        <w:jc w:val="both"/>
        <w:rPr/>
      </w:pPr>
      <w:r>
        <w:rPr>
          <w:spacing w:val="-4"/>
          <w:sz w:val="22"/>
          <w:szCs w:val="22"/>
        </w:rPr>
        <w:t xml:space="preserve">19.1.5. Inclusão social e geração de trabalho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Preferência pela utilização de mão de obra local, contribuindo para a geração de emprego e renda no município e reduzindo deslocamentos de trabalhadores.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Garantia de condições de acessibilidade universal (NBR 9050) em todas as etapas do projeto e execução.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c) Atendimento às normas de saúde e segurança no trabalho, assegurando condições adequadas para todos os trabalhadores.</w:t>
      </w:r>
    </w:p>
    <w:p>
      <w:pPr>
        <w:pStyle w:val="Ttulo1"/>
        <w:ind w:left="0" w:hanging="0"/>
        <w:rPr>
          <w:spacing w:val="-4"/>
          <w:sz w:val="22"/>
          <w:szCs w:val="22"/>
        </w:rPr>
      </w:pPr>
      <w:r>
        <w:rPr>
          <w:spacing w:val="-4"/>
          <w:sz w:val="22"/>
          <w:szCs w:val="22"/>
        </w:rPr>
      </w:r>
    </w:p>
    <w:p>
      <w:pPr>
        <w:pStyle w:val="Ttulo1"/>
        <w:ind w:left="0" w:hanging="0"/>
        <w:jc w:val="both"/>
        <w:rPr/>
      </w:pPr>
      <w:r>
        <w:rPr>
          <w:spacing w:val="-4"/>
          <w:sz w:val="22"/>
          <w:szCs w:val="22"/>
        </w:rPr>
        <w:t xml:space="preserve">19.1.6. Aspectos socioeconômicos e ciclo de vida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Avaliação do custo do ciclo de vida da obra (construção, operação, manutenção e desmobilização), privilegiando soluções com maior vida útil e menor custo de manutenção.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b) Priorização de tecnologias inovadoras que reduzam a pressão sobre recursos naturais.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spacing w:val="-4"/>
          <w:sz w:val="22"/>
          <w:szCs w:val="22"/>
        </w:rPr>
        <w:t>19.1.7. Certificações e conformidade</w:t>
      </w:r>
      <w:r>
        <w:rPr>
          <w:b w:val="false"/>
          <w:bCs w:val="false"/>
          <w:spacing w:val="-4"/>
          <w:sz w:val="22"/>
          <w:szCs w:val="22"/>
        </w:rPr>
        <w:t xml:space="preserve"> </w:t>
      </w:r>
    </w:p>
    <w:p>
      <w:pPr>
        <w:pStyle w:val="Ttulo1"/>
        <w:ind w:left="0" w:hanging="0"/>
        <w:jc w:val="both"/>
        <w:rPr>
          <w:spacing w:val="-4"/>
          <w:sz w:val="22"/>
          <w:szCs w:val="22"/>
        </w:rPr>
      </w:pPr>
      <w:r>
        <w:rPr>
          <w:spacing w:val="-4"/>
          <w:sz w:val="22"/>
          <w:szCs w:val="22"/>
        </w:rPr>
      </w:r>
    </w:p>
    <w:p>
      <w:pPr>
        <w:pStyle w:val="Ttulo1"/>
        <w:ind w:left="0" w:hanging="0"/>
        <w:jc w:val="both"/>
        <w:rPr>
          <w:b w:val="false"/>
          <w:b w:val="false"/>
          <w:bCs w:val="false"/>
        </w:rPr>
      </w:pPr>
      <w:r>
        <w:rPr>
          <w:b w:val="false"/>
          <w:bCs w:val="false"/>
          <w:spacing w:val="-4"/>
          <w:sz w:val="22"/>
          <w:szCs w:val="22"/>
        </w:rPr>
        <w:t xml:space="preserve">a) Exigência de conformidade com normas técnicas da ABNT ou equivalentes (se couber). </w:t>
      </w:r>
    </w:p>
    <w:p>
      <w:pPr>
        <w:pStyle w:val="Ttulo1"/>
        <w:ind w:left="0" w:hanging="0"/>
        <w:rPr>
          <w:spacing w:val="-4"/>
          <w:sz w:val="22"/>
          <w:szCs w:val="22"/>
        </w:rPr>
      </w:pPr>
      <w:r>
        <w:rPr>
          <w:spacing w:val="-4"/>
          <w:sz w:val="22"/>
          <w:szCs w:val="22"/>
        </w:rPr>
      </w:r>
    </w:p>
    <w:p>
      <w:pPr>
        <w:pStyle w:val="Ttulo1"/>
        <w:ind w:left="0" w:hanging="0"/>
        <w:rPr>
          <w:spacing w:val="-4"/>
          <w:sz w:val="22"/>
          <w:szCs w:val="22"/>
        </w:rPr>
      </w:pPr>
      <w:r>
        <w:rPr>
          <w:spacing w:val="-4"/>
          <w:sz w:val="22"/>
          <w:szCs w:val="22"/>
        </w:rPr>
      </w:r>
    </w:p>
    <w:p>
      <w:pPr>
        <w:pStyle w:val="Ttulo1"/>
        <w:ind w:left="0" w:hanging="0"/>
        <w:rPr/>
      </w:pPr>
      <w:r>
        <w:rPr>
          <w:spacing w:val="-4"/>
          <w:sz w:val="22"/>
          <w:szCs w:val="22"/>
        </w:rPr>
        <w:t xml:space="preserve">20. CLÁUSULA VIGÉSIMA - </w:t>
      </w:r>
      <w:r>
        <w:rPr>
          <w:sz w:val="22"/>
          <w:szCs w:val="22"/>
        </w:rPr>
        <w:t>PUBLICAÇÃO</w:t>
      </w:r>
    </w:p>
    <w:p>
      <w:pPr>
        <w:pStyle w:val="Normal"/>
        <w:jc w:val="both"/>
        <w:rPr>
          <w:rFonts w:ascii="Arial" w:hAnsi="Arial" w:cs="Arial"/>
        </w:rPr>
      </w:pPr>
      <w:r>
        <w:rPr>
          <w:rFonts w:cs="Arial" w:ascii="Arial" w:hAnsi="Arial"/>
        </w:rPr>
      </w:r>
    </w:p>
    <w:p>
      <w:pPr>
        <w:pStyle w:val="Normal"/>
        <w:jc w:val="both"/>
        <w:rPr/>
      </w:pPr>
      <w:r>
        <w:rPr>
          <w:rFonts w:cs="Arial" w:ascii="Arial" w:hAnsi="Arial"/>
        </w:rPr>
        <w:t>20.1. Incumbirá ao contratante divulgar o presente instrumento no Portal Nacional de Contratações Públicas (PNCP), na forma prevista no art. 94 da Lei 14.133, de 2021, bem como no respectivo sítio oficial na Internet.</w:t>
      </w:r>
    </w:p>
    <w:p>
      <w:pPr>
        <w:pStyle w:val="Normal"/>
        <w:jc w:val="both"/>
        <w:rPr>
          <w:rFonts w:ascii="Arial" w:hAnsi="Arial" w:cs="Arial"/>
        </w:rPr>
      </w:pPr>
      <w:r>
        <w:rPr>
          <w:rFonts w:cs="Arial" w:ascii="Arial" w:hAnsi="Arial"/>
        </w:rPr>
      </w:r>
    </w:p>
    <w:p>
      <w:pPr>
        <w:pStyle w:val="Nivel1"/>
        <w:numPr>
          <w:ilvl w:val="0"/>
          <w:numId w:val="0"/>
        </w:numPr>
        <w:suppressAutoHyphens w:val="false"/>
        <w:spacing w:before="0" w:after="0"/>
        <w:ind w:left="0" w:hanging="0"/>
        <w:outlineLvl w:val="0"/>
        <w:rPr>
          <w:sz w:val="22"/>
          <w:szCs w:val="22"/>
        </w:rPr>
      </w:pPr>
      <w:r>
        <w:rPr>
          <w:sz w:val="22"/>
          <w:szCs w:val="22"/>
        </w:rPr>
      </w:r>
    </w:p>
    <w:p>
      <w:pPr>
        <w:pStyle w:val="Nivel1"/>
        <w:numPr>
          <w:ilvl w:val="0"/>
          <w:numId w:val="0"/>
        </w:numPr>
        <w:suppressAutoHyphens w:val="false"/>
        <w:spacing w:before="0" w:after="0"/>
        <w:ind w:left="0" w:hanging="0"/>
        <w:outlineLvl w:val="0"/>
        <w:rPr/>
      </w:pPr>
      <w:r>
        <w:rPr>
          <w:sz w:val="22"/>
          <w:szCs w:val="22"/>
        </w:rPr>
        <w:t>21. CLÁUSULA VIGÉSIMA PRIMEIRA -</w:t>
      </w:r>
      <w:r>
        <w:rPr>
          <w:spacing w:val="-1"/>
          <w:sz w:val="22"/>
          <w:szCs w:val="22"/>
        </w:rPr>
        <w:t xml:space="preserve"> </w:t>
      </w:r>
      <w:r>
        <w:rPr>
          <w:sz w:val="22"/>
          <w:szCs w:val="22"/>
        </w:rPr>
        <w:t>DAS</w:t>
      </w:r>
      <w:r>
        <w:rPr>
          <w:spacing w:val="-3"/>
          <w:sz w:val="22"/>
          <w:szCs w:val="22"/>
        </w:rPr>
        <w:t xml:space="preserve"> </w:t>
      </w:r>
      <w:r>
        <w:rPr>
          <w:sz w:val="22"/>
          <w:szCs w:val="22"/>
        </w:rPr>
        <w:t>DISPOSIÇÕES</w:t>
      </w:r>
      <w:r>
        <w:rPr>
          <w:spacing w:val="-3"/>
          <w:sz w:val="22"/>
          <w:szCs w:val="22"/>
        </w:rPr>
        <w:t xml:space="preserve"> </w:t>
      </w:r>
      <w:r>
        <w:rPr>
          <w:sz w:val="22"/>
          <w:szCs w:val="22"/>
        </w:rPr>
        <w:t>GERAIS</w:t>
      </w:r>
    </w:p>
    <w:p>
      <w:pPr>
        <w:pStyle w:val="Corpodotexto"/>
        <w:jc w:val="both"/>
        <w:rPr>
          <w:rFonts w:ascii="Arial" w:hAnsi="Arial" w:cs="Arial"/>
          <w:sz w:val="22"/>
          <w:szCs w:val="22"/>
        </w:rPr>
      </w:pPr>
      <w:r>
        <w:rPr>
          <w:rFonts w:cs="Arial" w:ascii="Arial" w:hAnsi="Arial"/>
          <w:sz w:val="22"/>
          <w:szCs w:val="22"/>
        </w:rPr>
      </w:r>
    </w:p>
    <w:p>
      <w:pPr>
        <w:pStyle w:val="Corpodotexto"/>
        <w:jc w:val="both"/>
        <w:rPr/>
      </w:pPr>
      <w:r>
        <w:rPr>
          <w:rFonts w:cs="Arial" w:ascii="Arial" w:hAnsi="Arial"/>
          <w:w w:val="95"/>
          <w:sz w:val="22"/>
          <w:szCs w:val="22"/>
        </w:rPr>
        <w:t xml:space="preserve">21.1. </w:t>
      </w:r>
      <w:r>
        <w:rPr>
          <w:rFonts w:cs="Arial" w:ascii="Arial" w:hAnsi="Arial"/>
          <w:sz w:val="22"/>
          <w:szCs w:val="22"/>
        </w:rPr>
        <w:t>Fica a CONTRATADA, ciente de que a assinatura deste contrato indica que têm pleno conhecimento dos elementos nele constantes, bem como do termo de referência e de todas as suas condições gerais e peculiares, não podendo invocar qualquer desconhecimento quanto aos mesmos, como elemento impeditivo do perfeito cumprimento de seu objeto.</w:t>
      </w:r>
    </w:p>
    <w:p>
      <w:pPr>
        <w:pStyle w:val="Corpodotexto"/>
        <w:rPr>
          <w:rFonts w:ascii="Arial" w:hAnsi="Arial" w:cs="Arial"/>
          <w:sz w:val="22"/>
          <w:szCs w:val="22"/>
        </w:rPr>
      </w:pPr>
      <w:r>
        <w:rPr>
          <w:rFonts w:cs="Arial" w:ascii="Arial" w:hAnsi="Arial"/>
          <w:sz w:val="22"/>
          <w:szCs w:val="22"/>
        </w:rPr>
      </w:r>
    </w:p>
    <w:p>
      <w:pPr>
        <w:pStyle w:val="ListParagraph"/>
        <w:tabs>
          <w:tab w:val="clear" w:pos="720"/>
          <w:tab w:val="left" w:pos="632" w:leader="none"/>
        </w:tabs>
        <w:ind w:left="0" w:hanging="0"/>
        <w:rPr/>
      </w:pPr>
      <w:r>
        <w:rPr>
          <w:rFonts w:cs="Arial" w:ascii="Arial" w:hAnsi="Arial"/>
        </w:rPr>
        <w:t>21.2. Os documentos discriminados neste Contrato e os que vierem a ser emitidos pelas partes, em razão deste, o integrarão para todos os fins de direito, independente de transcrição e lhe são anexos.</w:t>
      </w:r>
    </w:p>
    <w:p>
      <w:pPr>
        <w:pStyle w:val="Corpodotexto"/>
        <w:rPr>
          <w:rFonts w:ascii="Arial" w:hAnsi="Arial" w:cs="Arial"/>
          <w:sz w:val="22"/>
          <w:szCs w:val="22"/>
        </w:rPr>
      </w:pPr>
      <w:r>
        <w:rPr>
          <w:rFonts w:cs="Arial" w:ascii="Arial" w:hAnsi="Arial"/>
          <w:sz w:val="22"/>
          <w:szCs w:val="22"/>
        </w:rPr>
      </w:r>
    </w:p>
    <w:p>
      <w:pPr>
        <w:pStyle w:val="ListParagraph"/>
        <w:tabs>
          <w:tab w:val="clear" w:pos="720"/>
          <w:tab w:val="left" w:pos="644" w:leader="none"/>
        </w:tabs>
        <w:ind w:left="0" w:hanging="0"/>
        <w:rPr/>
      </w:pPr>
      <w:r>
        <w:rPr>
          <w:rFonts w:cs="Arial" w:ascii="Arial" w:hAnsi="Arial"/>
        </w:rPr>
        <w:t>21.3. Fica ressalvada a possibilidade de alteração das condições contratuais em face da superveniência de normas federais e municipais disciplinando a matéria.</w:t>
      </w:r>
    </w:p>
    <w:p>
      <w:pPr>
        <w:pStyle w:val="ListParagraph"/>
        <w:tabs>
          <w:tab w:val="clear" w:pos="720"/>
          <w:tab w:val="left" w:pos="644" w:leader="none"/>
        </w:tabs>
        <w:ind w:left="0" w:hanging="0"/>
        <w:rPr>
          <w:rFonts w:ascii="Arial" w:hAnsi="Arial"/>
        </w:rPr>
      </w:pPr>
      <w:r>
        <w:rPr>
          <w:rFonts w:ascii="Arial" w:hAnsi="Arial"/>
        </w:rPr>
      </w:r>
    </w:p>
    <w:p>
      <w:pPr>
        <w:pStyle w:val="Ttulo1"/>
        <w:ind w:left="0" w:hanging="0"/>
        <w:jc w:val="both"/>
        <w:rPr/>
      </w:pPr>
      <w:r>
        <w:rPr>
          <w:rFonts w:eastAsia="Arial MT"/>
          <w:b w:val="false"/>
          <w:bCs w:val="false"/>
          <w:sz w:val="22"/>
          <w:szCs w:val="22"/>
        </w:rPr>
        <w:t>21.4. Os recursos, representação e pedido de reconsideração, somente serão acolhidos nos termos do arts. 165 a 168 da Lei 14.133/2021.</w:t>
      </w:r>
    </w:p>
    <w:p>
      <w:pPr>
        <w:pStyle w:val="Ttulo1"/>
        <w:tabs>
          <w:tab w:val="clear" w:pos="720"/>
          <w:tab w:val="left" w:pos="644" w:leader="none"/>
        </w:tabs>
        <w:ind w:left="0" w:hanging="0"/>
        <w:jc w:val="both"/>
        <w:rPr>
          <w:rFonts w:eastAsia="Arial MT"/>
          <w:b w:val="false"/>
          <w:b w:val="false"/>
          <w:bCs w:val="false"/>
          <w:sz w:val="22"/>
          <w:szCs w:val="22"/>
        </w:rPr>
      </w:pPr>
      <w:r>
        <w:rPr>
          <w:rFonts w:eastAsia="Arial MT"/>
          <w:b w:val="false"/>
          <w:bCs w:val="false"/>
          <w:sz w:val="22"/>
          <w:szCs w:val="22"/>
        </w:rPr>
      </w:r>
    </w:p>
    <w:p>
      <w:pPr>
        <w:pStyle w:val="Ttulo1"/>
        <w:tabs>
          <w:tab w:val="clear" w:pos="720"/>
          <w:tab w:val="left" w:pos="644" w:leader="none"/>
        </w:tabs>
        <w:ind w:left="0" w:hanging="0"/>
        <w:jc w:val="both"/>
        <w:rPr/>
      </w:pPr>
      <w:r>
        <w:rPr>
          <w:rFonts w:eastAsia="Arial MT"/>
          <w:b w:val="false"/>
          <w:bCs w:val="false"/>
          <w:sz w:val="22"/>
          <w:szCs w:val="22"/>
        </w:rPr>
        <w:t>21.5. A comunicação e o procedimento de aplicação das penalidades observarão o disposto neste contrato.</w:t>
      </w:r>
    </w:p>
    <w:p>
      <w:pPr>
        <w:pStyle w:val="Ttulo1"/>
        <w:tabs>
          <w:tab w:val="clear" w:pos="720"/>
          <w:tab w:val="left" w:pos="644" w:leader="none"/>
        </w:tabs>
        <w:ind w:left="0" w:hanging="0"/>
        <w:jc w:val="both"/>
        <w:rPr>
          <w:rFonts w:eastAsia="Arial MT"/>
          <w:b w:val="false"/>
          <w:b w:val="false"/>
          <w:bCs w:val="false"/>
          <w:sz w:val="22"/>
          <w:szCs w:val="22"/>
        </w:rPr>
      </w:pPr>
      <w:r>
        <w:rPr>
          <w:rFonts w:eastAsia="Arial MT"/>
          <w:b w:val="false"/>
          <w:bCs w:val="false"/>
          <w:sz w:val="22"/>
          <w:szCs w:val="22"/>
        </w:rPr>
      </w:r>
    </w:p>
    <w:p>
      <w:pPr>
        <w:pStyle w:val="Ttulo1"/>
        <w:ind w:left="0" w:hanging="0"/>
        <w:jc w:val="both"/>
        <w:rPr/>
      </w:pPr>
      <w:r>
        <w:rPr>
          <w:rFonts w:eastAsia="Arial MT"/>
          <w:b w:val="false"/>
          <w:bCs w:val="false"/>
          <w:sz w:val="22"/>
          <w:szCs w:val="22"/>
        </w:rPr>
        <w:t>21.6. A CONTRATADA será responsável por qualquer reparo ou conservação da obra durante 90 (noventa) dias após o seu recebimento definitivo, sem prejuízo das responsabilidades previstas no Artigo 140, §2º e § 6º da Lei 14.133/2021.</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pPr>
      <w:r>
        <w:rPr>
          <w:rFonts w:eastAsia="Arial MT"/>
          <w:sz w:val="22"/>
          <w:szCs w:val="22"/>
        </w:rPr>
        <w:t>22. CLÁUSULA VIGÉSIMA SEGUNDA  – DOS CASOS OMISSOS</w:t>
      </w:r>
    </w:p>
    <w:p>
      <w:pPr>
        <w:pStyle w:val="Normal"/>
        <w:suppressAutoHyphens w:val="false"/>
        <w:jc w:val="both"/>
        <w:rPr>
          <w:rFonts w:ascii="Arial" w:hAnsi="Arial"/>
        </w:rPr>
      </w:pPr>
      <w:r>
        <w:rPr>
          <w:rFonts w:ascii="Arial" w:hAnsi="Arial"/>
        </w:rPr>
      </w:r>
    </w:p>
    <w:p>
      <w:pPr>
        <w:pStyle w:val="Normal"/>
        <w:suppressAutoHyphens w:val="false"/>
        <w:jc w:val="both"/>
        <w:rPr/>
      </w:pPr>
      <w:r>
        <w:rPr>
          <w:rFonts w:cs="Arial" w:ascii="Arial" w:hAnsi="Arial"/>
        </w:rPr>
        <w:t>22.1 Os casos omissos serão decididos pela CONTRATANTE, segundo as disposições contidas na Lei nº 14.133/2021 e demais normas federais aplicáveis e, subsidiariamente, segundo as disposições contidas na Lei nº 8.078, de 1990 – Código de Defesa do Consumidor – e normas e princípios gerais dos contratos.</w:t>
      </w:r>
    </w:p>
    <w:p>
      <w:pPr>
        <w:pStyle w:val="Ttulo1"/>
        <w:ind w:left="0" w:hanging="0"/>
        <w:jc w:val="both"/>
        <w:rPr>
          <w:sz w:val="22"/>
          <w:szCs w:val="22"/>
        </w:rPr>
      </w:pPr>
      <w:r>
        <w:rPr>
          <w:sz w:val="22"/>
          <w:szCs w:val="22"/>
        </w:rPr>
      </w:r>
    </w:p>
    <w:p>
      <w:pPr>
        <w:pStyle w:val="Ttulo1"/>
        <w:ind w:left="0" w:hanging="0"/>
        <w:jc w:val="both"/>
        <w:rPr>
          <w:sz w:val="22"/>
          <w:szCs w:val="22"/>
        </w:rPr>
      </w:pPr>
      <w:r>
        <w:rPr>
          <w:sz w:val="22"/>
          <w:szCs w:val="22"/>
        </w:rPr>
      </w:r>
    </w:p>
    <w:p>
      <w:pPr>
        <w:pStyle w:val="Ttulo1"/>
        <w:ind w:left="0" w:hanging="0"/>
        <w:jc w:val="both"/>
        <w:rPr/>
      </w:pPr>
      <w:r>
        <w:rPr>
          <w:sz w:val="22"/>
          <w:szCs w:val="22"/>
        </w:rPr>
        <w:t>23. CLÁUSULA</w:t>
      </w:r>
      <w:r>
        <w:rPr>
          <w:spacing w:val="-10"/>
          <w:sz w:val="22"/>
          <w:szCs w:val="22"/>
        </w:rPr>
        <w:t xml:space="preserve"> </w:t>
      </w:r>
      <w:r>
        <w:rPr>
          <w:sz w:val="22"/>
          <w:szCs w:val="22"/>
        </w:rPr>
        <w:t>VIGÉSIMA</w:t>
      </w:r>
      <w:r>
        <w:rPr>
          <w:spacing w:val="-13"/>
          <w:sz w:val="22"/>
          <w:szCs w:val="22"/>
        </w:rPr>
        <w:t xml:space="preserve"> TERCEIRA</w:t>
      </w:r>
      <w:r>
        <w:rPr>
          <w:spacing w:val="-11"/>
          <w:sz w:val="22"/>
          <w:szCs w:val="22"/>
        </w:rPr>
        <w:t xml:space="preserve"> </w:t>
      </w:r>
      <w:r>
        <w:rPr>
          <w:sz w:val="22"/>
          <w:szCs w:val="22"/>
        </w:rPr>
        <w:t>–</w:t>
      </w:r>
      <w:r>
        <w:rPr>
          <w:spacing w:val="-6"/>
          <w:sz w:val="22"/>
          <w:szCs w:val="22"/>
        </w:rPr>
        <w:t xml:space="preserve"> DO </w:t>
      </w:r>
      <w:r>
        <w:rPr>
          <w:sz w:val="22"/>
          <w:szCs w:val="22"/>
        </w:rPr>
        <w:t>FORO</w:t>
      </w:r>
    </w:p>
    <w:p>
      <w:pPr>
        <w:pStyle w:val="ListParagraph"/>
        <w:tabs>
          <w:tab w:val="clear" w:pos="720"/>
          <w:tab w:val="left" w:pos="651" w:leader="none"/>
        </w:tabs>
        <w:ind w:left="0" w:hanging="0"/>
        <w:rPr>
          <w:rFonts w:ascii="Arial" w:hAnsi="Arial"/>
        </w:rPr>
      </w:pPr>
      <w:r>
        <w:rPr>
          <w:rFonts w:ascii="Arial" w:hAnsi="Arial"/>
        </w:rPr>
      </w:r>
    </w:p>
    <w:p>
      <w:pPr>
        <w:pStyle w:val="ListParagraph"/>
        <w:tabs>
          <w:tab w:val="clear" w:pos="720"/>
          <w:tab w:val="left" w:pos="651" w:leader="none"/>
        </w:tabs>
        <w:ind w:left="0" w:hanging="0"/>
        <w:rPr/>
      </w:pPr>
      <w:r>
        <w:rPr>
          <w:rFonts w:ascii="Arial" w:hAnsi="Arial"/>
        </w:rPr>
        <w:t>23.1. Fica eleito o Foro da Comarca de Aracruz, Estado do Espírito Santo, para dirimir qualquer dúvida</w:t>
      </w:r>
      <w:r>
        <w:rPr>
          <w:rFonts w:ascii="Arial" w:hAnsi="Arial"/>
          <w:spacing w:val="1"/>
        </w:rPr>
        <w:t xml:space="preserve"> </w:t>
      </w:r>
      <w:r>
        <w:rPr>
          <w:rFonts w:ascii="Arial" w:hAnsi="Arial"/>
        </w:rPr>
        <w:t>ou contestação oriunda direta ou indiretamente deste instrumento, renunciando-se expressamente a</w:t>
      </w:r>
      <w:r>
        <w:rPr>
          <w:rFonts w:ascii="Arial" w:hAnsi="Arial"/>
          <w:spacing w:val="1"/>
        </w:rPr>
        <w:t xml:space="preserve"> </w:t>
      </w:r>
      <w:r>
        <w:rPr>
          <w:rFonts w:ascii="Arial" w:hAnsi="Arial"/>
        </w:rPr>
        <w:t>qualquer</w:t>
      </w:r>
      <w:r>
        <w:rPr>
          <w:rFonts w:ascii="Arial" w:hAnsi="Arial"/>
          <w:spacing w:val="-2"/>
        </w:rPr>
        <w:t xml:space="preserve"> </w:t>
      </w:r>
      <w:r>
        <w:rPr>
          <w:rFonts w:ascii="Arial" w:hAnsi="Arial"/>
        </w:rPr>
        <w:t>outro,</w:t>
      </w:r>
      <w:r>
        <w:rPr>
          <w:rFonts w:ascii="Arial" w:hAnsi="Arial"/>
          <w:spacing w:val="-1"/>
        </w:rPr>
        <w:t xml:space="preserve"> </w:t>
      </w:r>
      <w:r>
        <w:rPr>
          <w:rFonts w:ascii="Arial" w:hAnsi="Arial"/>
        </w:rPr>
        <w:t>por</w:t>
      </w:r>
      <w:r>
        <w:rPr>
          <w:rFonts w:ascii="Arial" w:hAnsi="Arial"/>
          <w:spacing w:val="2"/>
        </w:rPr>
        <w:t xml:space="preserve"> </w:t>
      </w:r>
      <w:r>
        <w:rPr>
          <w:rFonts w:ascii="Arial" w:hAnsi="Arial"/>
        </w:rPr>
        <w:t>mais privilegiado</w:t>
      </w:r>
      <w:r>
        <w:rPr>
          <w:rFonts w:ascii="Arial" w:hAnsi="Arial"/>
          <w:spacing w:val="-1"/>
        </w:rPr>
        <w:t xml:space="preserve"> </w:t>
      </w:r>
      <w:r>
        <w:rPr>
          <w:rFonts w:ascii="Arial" w:hAnsi="Arial"/>
        </w:rPr>
        <w:t>que</w:t>
      </w:r>
      <w:r>
        <w:rPr>
          <w:rFonts w:ascii="Arial" w:hAnsi="Arial"/>
          <w:spacing w:val="-1"/>
        </w:rPr>
        <w:t xml:space="preserve"> </w:t>
      </w:r>
      <w:r>
        <w:rPr>
          <w:rFonts w:ascii="Arial" w:hAnsi="Arial"/>
        </w:rPr>
        <w:t>seja.</w:t>
      </w:r>
    </w:p>
    <w:p>
      <w:pPr>
        <w:pStyle w:val="Corpodotexto"/>
        <w:jc w:val="both"/>
        <w:rPr>
          <w:rFonts w:ascii="Arial" w:hAnsi="Arial"/>
          <w:sz w:val="22"/>
          <w:szCs w:val="22"/>
        </w:rPr>
      </w:pPr>
      <w:r>
        <w:rPr>
          <w:rFonts w:ascii="Arial" w:hAnsi="Arial"/>
          <w:sz w:val="22"/>
          <w:szCs w:val="22"/>
        </w:rPr>
      </w:r>
    </w:p>
    <w:p>
      <w:pPr>
        <w:pStyle w:val="ListParagraph"/>
        <w:tabs>
          <w:tab w:val="clear" w:pos="720"/>
          <w:tab w:val="left" w:pos="641" w:leader="none"/>
        </w:tabs>
        <w:ind w:left="0" w:hanging="0"/>
        <w:rPr/>
      </w:pPr>
      <w:r>
        <w:rPr>
          <w:rFonts w:ascii="Arial" w:hAnsi="Arial"/>
        </w:rPr>
        <w:t>23.2. E</w:t>
      </w:r>
      <w:r>
        <w:rPr>
          <w:rFonts w:ascii="Arial" w:hAnsi="Arial"/>
          <w:spacing w:val="-4"/>
        </w:rPr>
        <w:t xml:space="preserve"> </w:t>
      </w:r>
      <w:r>
        <w:rPr>
          <w:rFonts w:ascii="Arial" w:hAnsi="Arial"/>
        </w:rPr>
        <w:t>por</w:t>
      </w:r>
      <w:r>
        <w:rPr>
          <w:rFonts w:ascii="Arial" w:hAnsi="Arial"/>
          <w:spacing w:val="-3"/>
        </w:rPr>
        <w:t xml:space="preserve"> </w:t>
      </w:r>
      <w:r>
        <w:rPr>
          <w:rFonts w:ascii="Arial" w:hAnsi="Arial"/>
        </w:rPr>
        <w:t>estarem</w:t>
      </w:r>
      <w:r>
        <w:rPr>
          <w:rFonts w:ascii="Arial" w:hAnsi="Arial"/>
          <w:spacing w:val="-3"/>
        </w:rPr>
        <w:t xml:space="preserve"> </w:t>
      </w:r>
      <w:r>
        <w:rPr>
          <w:rFonts w:ascii="Arial" w:hAnsi="Arial"/>
        </w:rPr>
        <w:t>justos</w:t>
      </w:r>
      <w:r>
        <w:rPr>
          <w:rFonts w:ascii="Arial" w:hAnsi="Arial"/>
          <w:spacing w:val="-2"/>
        </w:rPr>
        <w:t xml:space="preserve"> </w:t>
      </w:r>
      <w:r>
        <w:rPr>
          <w:rFonts w:ascii="Arial" w:hAnsi="Arial"/>
        </w:rPr>
        <w:t>e</w:t>
      </w:r>
      <w:r>
        <w:rPr>
          <w:rFonts w:ascii="Arial" w:hAnsi="Arial"/>
          <w:spacing w:val="-4"/>
        </w:rPr>
        <w:t xml:space="preserve"> </w:t>
      </w:r>
      <w:r>
        <w:rPr>
          <w:rFonts w:ascii="Arial" w:hAnsi="Arial"/>
        </w:rPr>
        <w:t>acordados,</w:t>
      </w:r>
      <w:r>
        <w:rPr>
          <w:rFonts w:ascii="Arial" w:hAnsi="Arial"/>
          <w:spacing w:val="-3"/>
        </w:rPr>
        <w:t xml:space="preserve"> </w:t>
      </w:r>
      <w:r>
        <w:rPr>
          <w:rFonts w:ascii="Arial" w:hAnsi="Arial"/>
        </w:rPr>
        <w:t>assinam</w:t>
      </w:r>
      <w:r>
        <w:rPr>
          <w:rFonts w:ascii="Arial" w:hAnsi="Arial"/>
          <w:spacing w:val="-3"/>
        </w:rPr>
        <w:t xml:space="preserve"> </w:t>
      </w:r>
      <w:r>
        <w:rPr>
          <w:rFonts w:ascii="Arial" w:hAnsi="Arial"/>
        </w:rPr>
        <w:t>o</w:t>
      </w:r>
      <w:r>
        <w:rPr>
          <w:rFonts w:ascii="Arial" w:hAnsi="Arial"/>
          <w:spacing w:val="-1"/>
        </w:rPr>
        <w:t xml:space="preserve"> </w:t>
      </w:r>
      <w:r>
        <w:rPr>
          <w:rFonts w:ascii="Arial" w:hAnsi="Arial"/>
        </w:rPr>
        <w:t>presente</w:t>
      </w:r>
      <w:r>
        <w:rPr>
          <w:rFonts w:ascii="Arial" w:hAnsi="Arial"/>
          <w:spacing w:val="-4"/>
        </w:rPr>
        <w:t xml:space="preserve"> </w:t>
      </w:r>
      <w:r>
        <w:rPr>
          <w:rFonts w:ascii="Arial" w:hAnsi="Arial"/>
        </w:rPr>
        <w:t>contrato</w:t>
      </w:r>
      <w:r>
        <w:rPr>
          <w:rFonts w:ascii="Arial" w:hAnsi="Arial"/>
          <w:spacing w:val="-1"/>
        </w:rPr>
        <w:t xml:space="preserve"> </w:t>
      </w:r>
      <w:r>
        <w:rPr>
          <w:rFonts w:ascii="Arial" w:hAnsi="Arial"/>
        </w:rPr>
        <w:t>em</w:t>
      </w:r>
      <w:r>
        <w:rPr>
          <w:rFonts w:ascii="Arial" w:hAnsi="Arial"/>
          <w:spacing w:val="-1"/>
        </w:rPr>
        <w:t xml:space="preserve"> </w:t>
      </w:r>
      <w:r>
        <w:rPr>
          <w:rFonts w:ascii="Arial" w:hAnsi="Arial"/>
        </w:rPr>
        <w:t>03(três)</w:t>
      </w:r>
      <w:r>
        <w:rPr>
          <w:rFonts w:ascii="Arial" w:hAnsi="Arial"/>
          <w:spacing w:val="-2"/>
        </w:rPr>
        <w:t xml:space="preserve"> </w:t>
      </w:r>
      <w:r>
        <w:rPr>
          <w:rFonts w:ascii="Arial" w:hAnsi="Arial"/>
        </w:rPr>
        <w:t>vias</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igual</w:t>
      </w:r>
      <w:r>
        <w:rPr>
          <w:rFonts w:ascii="Arial" w:hAnsi="Arial"/>
          <w:spacing w:val="-4"/>
        </w:rPr>
        <w:t xml:space="preserve"> </w:t>
      </w:r>
      <w:r>
        <w:rPr>
          <w:rFonts w:ascii="Arial" w:hAnsi="Arial"/>
        </w:rPr>
        <w:t>teor,</w:t>
      </w:r>
      <w:r>
        <w:rPr>
          <w:rFonts w:ascii="Arial" w:hAnsi="Arial"/>
          <w:spacing w:val="-3"/>
        </w:rPr>
        <w:t xml:space="preserve"> </w:t>
      </w:r>
      <w:r>
        <w:rPr>
          <w:rFonts w:ascii="Arial" w:hAnsi="Arial"/>
        </w:rPr>
        <w:t>valor</w:t>
      </w:r>
      <w:r>
        <w:rPr>
          <w:rFonts w:ascii="Arial" w:hAnsi="Arial"/>
          <w:spacing w:val="-53"/>
        </w:rPr>
        <w:t xml:space="preserve"> </w:t>
      </w:r>
      <w:r>
        <w:rPr>
          <w:rFonts w:ascii="Arial" w:hAnsi="Arial"/>
        </w:rPr>
        <w:t>e</w:t>
      </w:r>
      <w:r>
        <w:rPr>
          <w:rFonts w:ascii="Arial" w:hAnsi="Arial"/>
          <w:spacing w:val="-2"/>
        </w:rPr>
        <w:t xml:space="preserve"> </w:t>
      </w:r>
      <w:r>
        <w:rPr>
          <w:rFonts w:ascii="Arial" w:hAnsi="Arial"/>
        </w:rPr>
        <w:t>forma,</w:t>
      </w:r>
      <w:r>
        <w:rPr>
          <w:rFonts w:ascii="Arial" w:hAnsi="Arial"/>
          <w:spacing w:val="-1"/>
        </w:rPr>
        <w:t xml:space="preserve"> </w:t>
      </w:r>
      <w:r>
        <w:rPr>
          <w:rFonts w:ascii="Arial" w:hAnsi="Arial"/>
        </w:rPr>
        <w:t>na</w:t>
      </w:r>
      <w:r>
        <w:rPr>
          <w:rFonts w:ascii="Arial" w:hAnsi="Arial"/>
          <w:spacing w:val="-1"/>
        </w:rPr>
        <w:t xml:space="preserve"> </w:t>
      </w:r>
      <w:r>
        <w:rPr>
          <w:rFonts w:ascii="Arial" w:hAnsi="Arial"/>
        </w:rPr>
        <w:t>presença</w:t>
      </w:r>
      <w:r>
        <w:rPr>
          <w:rFonts w:ascii="Arial" w:hAnsi="Arial"/>
          <w:spacing w:val="-1"/>
        </w:rPr>
        <w:t xml:space="preserve"> </w:t>
      </w:r>
      <w:r>
        <w:rPr>
          <w:rFonts w:ascii="Arial" w:hAnsi="Arial"/>
        </w:rPr>
        <w:t>de</w:t>
      </w:r>
      <w:r>
        <w:rPr>
          <w:rFonts w:ascii="Arial" w:hAnsi="Arial"/>
          <w:spacing w:val="1"/>
        </w:rPr>
        <w:t xml:space="preserve"> </w:t>
      </w:r>
      <w:r>
        <w:rPr>
          <w:rFonts w:ascii="Arial" w:hAnsi="Arial"/>
        </w:rPr>
        <w:t>testemunhas.</w:t>
      </w:r>
    </w:p>
    <w:p>
      <w:pPr>
        <w:pStyle w:val="ListParagraph"/>
        <w:tabs>
          <w:tab w:val="clear" w:pos="720"/>
          <w:tab w:val="left" w:pos="641" w:leader="none"/>
        </w:tabs>
        <w:ind w:left="0" w:hanging="0"/>
        <w:rPr>
          <w:rFonts w:ascii="Arial" w:hAnsi="Arial"/>
        </w:rPr>
      </w:pPr>
      <w:r>
        <w:rPr>
          <w:rFonts w:ascii="Arial" w:hAnsi="Arial"/>
        </w:rPr>
      </w:r>
    </w:p>
    <w:p>
      <w:pPr>
        <w:pStyle w:val="ListParagraph"/>
        <w:tabs>
          <w:tab w:val="clear" w:pos="720"/>
          <w:tab w:val="left" w:pos="641" w:leader="none"/>
        </w:tabs>
        <w:ind w:left="0" w:hanging="0"/>
        <w:rPr/>
      </w:pPr>
      <w:r>
        <w:rPr>
          <w:rFonts w:ascii="Arial" w:hAnsi="Arial"/>
        </w:rPr>
        <w:t>Aracruz-ES,</w:t>
      </w:r>
      <w:r>
        <w:rPr>
          <w:rFonts w:ascii="Arial" w:hAnsi="Arial"/>
          <w:spacing w:val="-2"/>
        </w:rPr>
        <w:t xml:space="preserve"> </w:t>
      </w:r>
      <w:r>
        <w:rPr>
          <w:rFonts w:ascii="Arial" w:hAnsi="Arial"/>
        </w:rPr>
        <w:t>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XXXXXX</w:t>
      </w:r>
      <w:r>
        <w:rPr>
          <w:rFonts w:ascii="Arial" w:hAnsi="Arial"/>
          <w:spacing w:val="-3"/>
        </w:rPr>
        <w:t xml:space="preserve"> </w:t>
      </w:r>
      <w:r>
        <w:rPr>
          <w:rFonts w:ascii="Arial" w:hAnsi="Arial"/>
        </w:rPr>
        <w:t>de</w:t>
      </w:r>
      <w:r>
        <w:rPr>
          <w:rFonts w:ascii="Arial" w:hAnsi="Arial"/>
          <w:spacing w:val="-1"/>
        </w:rPr>
        <w:t xml:space="preserve"> </w:t>
      </w:r>
      <w:r>
        <w:rPr>
          <w:rFonts w:ascii="Arial" w:hAnsi="Arial"/>
        </w:rPr>
        <w:t>XXXX.</w:t>
      </w:r>
    </w:p>
    <w:p>
      <w:pPr>
        <w:pStyle w:val="ListParagraph"/>
        <w:tabs>
          <w:tab w:val="clear" w:pos="720"/>
          <w:tab w:val="left" w:pos="641" w:leader="none"/>
        </w:tabs>
        <w:ind w:left="0" w:hanging="0"/>
        <w:rPr>
          <w:rFonts w:ascii="Arial" w:hAnsi="Arial"/>
        </w:rPr>
      </w:pPr>
      <w:r>
        <w:rPr>
          <w:rFonts w:ascii="Arial" w:hAnsi="Arial"/>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w w:val="95"/>
          <w:sz w:val="22"/>
          <w:szCs w:val="22"/>
        </w:rPr>
        <w:t>XXXXXXXXXXXXXXXXXXXXXX</w:t>
      </w:r>
      <w:r>
        <w:rPr>
          <w:rFonts w:ascii="Arial" w:hAnsi="Arial"/>
          <w:spacing w:val="1"/>
          <w:w w:val="95"/>
          <w:sz w:val="22"/>
          <w:szCs w:val="22"/>
        </w:rPr>
        <w:t xml:space="preserve"> </w:t>
      </w:r>
    </w:p>
    <w:p>
      <w:pPr>
        <w:pStyle w:val="Corpodotexto"/>
        <w:jc w:val="center"/>
        <w:rPr>
          <w:rFonts w:ascii="Arial" w:hAnsi="Arial"/>
          <w:sz w:val="22"/>
          <w:szCs w:val="22"/>
        </w:rPr>
      </w:pPr>
      <w:r>
        <w:rPr>
          <w:rFonts w:ascii="Arial" w:hAnsi="Arial"/>
          <w:sz w:val="22"/>
          <w:szCs w:val="22"/>
        </w:rPr>
        <w:t>CONTRATANTE</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jc w:val="center"/>
        <w:rPr>
          <w:rFonts w:ascii="Arial" w:hAnsi="Arial"/>
          <w:sz w:val="22"/>
          <w:szCs w:val="22"/>
        </w:rPr>
      </w:pPr>
      <w:r>
        <w:rPr>
          <w:rFonts w:ascii="Arial" w:hAnsi="Arial"/>
          <w:sz w:val="22"/>
          <w:szCs w:val="22"/>
        </w:rPr>
        <w:t>XXXXXXXXXXXXXXXXXXXXXXX</w:t>
      </w:r>
    </w:p>
    <w:p>
      <w:pPr>
        <w:pStyle w:val="Corpodotexto"/>
        <w:jc w:val="center"/>
        <w:rPr>
          <w:rFonts w:ascii="Arial" w:hAnsi="Arial"/>
          <w:sz w:val="22"/>
          <w:szCs w:val="22"/>
        </w:rPr>
      </w:pPr>
      <w:r>
        <w:rPr>
          <w:rFonts w:ascii="Arial" w:hAnsi="Arial"/>
          <w:sz w:val="22"/>
          <w:szCs w:val="22"/>
        </w:rPr>
        <w:t>CONTRATADA</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t>TESTEMUNHAS:</w:t>
      </w:r>
    </w:p>
    <w:p>
      <w:pPr>
        <w:pStyle w:val="Corpodotexto"/>
        <w:tabs>
          <w:tab w:val="clear" w:pos="720"/>
          <w:tab w:val="left" w:pos="4525" w:leader="none"/>
        </w:tabs>
        <w:rPr>
          <w:rFonts w:ascii="Arial" w:hAnsi="Arial"/>
          <w:sz w:val="22"/>
          <w:szCs w:val="22"/>
        </w:rPr>
      </w:pPr>
      <w:r>
        <w:rPr>
          <w:rFonts w:ascii="Arial" w:hAnsi="Arial"/>
          <w:sz w:val="22"/>
          <w:szCs w:val="22"/>
        </w:rPr>
        <w:t>1:</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tabs>
          <w:tab w:val="clear" w:pos="720"/>
          <w:tab w:val="left" w:pos="4525" w:leader="none"/>
        </w:tabs>
        <w:rPr>
          <w:rFonts w:ascii="Arial" w:hAnsi="Arial"/>
          <w:sz w:val="22"/>
          <w:szCs w:val="22"/>
        </w:rPr>
      </w:pPr>
      <w:r>
        <w:rPr>
          <w:rFonts w:ascii="Arial" w:hAnsi="Arial"/>
          <w:sz w:val="22"/>
          <w:szCs w:val="22"/>
        </w:rPr>
        <w:t>2:</w:t>
      </w:r>
      <w:r>
        <w:rPr>
          <w:rFonts w:ascii="Arial" w:hAnsi="Arial"/>
          <w:sz w:val="22"/>
          <w:szCs w:val="22"/>
          <w:u w:val="single"/>
        </w:rPr>
        <w:tab/>
      </w:r>
      <w:r>
        <w:rPr>
          <w:rFonts w:ascii="Arial" w:hAnsi="Arial"/>
          <w:sz w:val="22"/>
          <w:szCs w:val="22"/>
        </w:rPr>
        <w:t xml:space="preserve"> Nome:</w:t>
      </w:r>
    </w:p>
    <w:p>
      <w:pPr>
        <w:pStyle w:val="Corpodotexto"/>
        <w:rPr>
          <w:rFonts w:ascii="Arial" w:hAnsi="Arial"/>
          <w:sz w:val="22"/>
          <w:szCs w:val="22"/>
        </w:rPr>
      </w:pPr>
      <w:r>
        <w:rPr>
          <w:rFonts w:ascii="Arial" w:hAnsi="Arial"/>
          <w:sz w:val="22"/>
          <w:szCs w:val="22"/>
        </w:rPr>
        <w:t>CPF:</w:t>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Normal"/>
        <w:jc w:val="center"/>
        <w:rPr>
          <w:rFonts w:ascii="Arial" w:hAnsi="Arial"/>
        </w:rPr>
      </w:pPr>
      <w:r>
        <w:rPr>
          <w:rFonts w:eastAsia="Times New Roman" w:cs="Arial" w:ascii="Arial" w:hAnsi="Arial"/>
          <w:b/>
          <w:lang w:eastAsia="pt-BR"/>
        </w:rPr>
        <w:t>ANEXO XII – PROJETOS EXECUTIVOS, PLANILHA ORÇAMENTÁRIA, MEMÓRIA DE CALCULO, COMPOSIÇÕES E DEMAIS INFORMAÇÕES COMPLEMENTARES</w:t>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sz w:val="22"/>
          <w:szCs w:val="22"/>
        </w:rPr>
      </w:pPr>
      <w:r>
        <w:rPr>
          <w:rFonts w:ascii="Arial" w:hAnsi="Arial"/>
          <w:sz w:val="22"/>
          <w:szCs w:val="22"/>
        </w:rPr>
      </w:r>
    </w:p>
    <w:p>
      <w:pPr>
        <w:pStyle w:val="Xwestern"/>
        <w:shd w:val="clear" w:color="auto" w:fill="FFFFFF" w:themeFill="background1"/>
        <w:spacing w:before="280" w:after="280"/>
        <w:jc w:val="center"/>
        <w:rPr>
          <w:rFonts w:ascii="Arial" w:hAnsi="Arial"/>
          <w:b/>
          <w:b/>
          <w:bCs/>
          <w:sz w:val="22"/>
          <w:szCs w:val="22"/>
        </w:rPr>
      </w:pPr>
      <w:r>
        <w:rPr>
          <w:rFonts w:cs="Arial" w:ascii="Arial" w:hAnsi="Arial"/>
          <w:b/>
          <w:bCs/>
          <w:sz w:val="22"/>
          <w:szCs w:val="22"/>
        </w:rPr>
        <w:t xml:space="preserve">(Arquivo Digital) </w:t>
      </w:r>
    </w:p>
    <w:p>
      <w:pPr>
        <w:pStyle w:val="Xwestern"/>
        <w:shd w:val="clear" w:color="auto" w:fill="FFFFFF" w:themeFill="background1"/>
        <w:spacing w:before="280" w:after="280"/>
        <w:jc w:val="center"/>
        <w:rPr>
          <w:rFonts w:ascii="Arial" w:hAnsi="Arial" w:cs="Arial"/>
          <w:b/>
          <w:b/>
          <w:bCs/>
          <w:sz w:val="22"/>
          <w:szCs w:val="22"/>
        </w:rPr>
      </w:pPr>
      <w:r>
        <w:rPr>
          <w:rFonts w:cs="Arial"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b/>
          <w:b/>
          <w:bCs/>
          <w:sz w:val="22"/>
          <w:szCs w:val="22"/>
        </w:rPr>
      </w:pPr>
      <w:r>
        <w:rPr>
          <w:rFonts w:ascii="Arial" w:hAnsi="Arial"/>
          <w:b/>
          <w:bCs/>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Corpodotexto"/>
        <w:rPr>
          <w:rFonts w:ascii="Arial" w:hAnsi="Arial"/>
          <w:sz w:val="22"/>
          <w:szCs w:val="22"/>
        </w:rPr>
      </w:pPr>
      <w:r>
        <w:rPr>
          <w:rFonts w:ascii="Arial" w:hAnsi="Arial"/>
          <w:sz w:val="22"/>
          <w:szCs w:val="22"/>
        </w:rPr>
      </w:r>
    </w:p>
    <w:p>
      <w:pPr>
        <w:pStyle w:val="Xwestern"/>
        <w:shd w:val="clear" w:color="auto" w:fill="FFFFFF" w:themeFill="background1"/>
        <w:spacing w:beforeAutospacing="0" w:before="280" w:afterAutospacing="0" w:after="280"/>
        <w:ind w:left="5102" w:hanging="0"/>
        <w:jc w:val="both"/>
        <w:rPr/>
      </w:pPr>
      <w:r>
        <w:rPr>
          <w:rFonts w:cs="Arial" w:ascii="Arial" w:hAnsi="Arial"/>
          <w:b/>
          <w:color w:val="000009"/>
          <w:spacing w:val="-1"/>
          <w:sz w:val="22"/>
          <w:szCs w:val="22"/>
        </w:rPr>
        <w:t xml:space="preserve">OBSERVAÇÃO: Este documento está em arquivo eletrônico (digital) e será disponibilizado para download na plataforma bll e pelo site: </w:t>
      </w:r>
      <w:r>
        <w:rPr>
          <w:rStyle w:val="LinkdaInternet"/>
          <w:rFonts w:cs="Arial" w:ascii="Arial" w:hAnsi="Arial"/>
          <w:b/>
          <w:spacing w:val="-1"/>
          <w:sz w:val="22"/>
          <w:szCs w:val="22"/>
        </w:rPr>
        <w:t>http://www.pma.es.gov.br/licitacoes/</w:t>
      </w:r>
    </w:p>
    <w:p>
      <w:pPr>
        <w:pStyle w:val="Ttulo1"/>
        <w:shd w:val="clear" w:color="auto" w:fill="FFFFFF" w:themeFill="background1"/>
        <w:ind w:left="5102" w:hanging="0"/>
        <w:jc w:val="center"/>
        <w:rPr>
          <w:color w:val="000000" w:themeColor="text1"/>
          <w:sz w:val="22"/>
          <w:szCs w:val="22"/>
        </w:rPr>
      </w:pPr>
      <w:r>
        <w:rPr/>
      </w:r>
    </w:p>
    <w:sectPr>
      <w:headerReference w:type="even" r:id="rId26"/>
      <w:headerReference w:type="default" r:id="rId27"/>
      <w:headerReference w:type="first" r:id="rId28"/>
      <w:footerReference w:type="even" r:id="rId29"/>
      <w:footerReference w:type="default" r:id="rId30"/>
      <w:footerReference w:type="first" r:id="rId31"/>
      <w:type w:val="nextPage"/>
      <w:pgSz w:w="11906" w:h="16838"/>
      <w:pgMar w:left="1417" w:right="1134" w:gutter="0" w:header="540" w:top="1810" w:footer="0" w:bottom="1355"/>
      <w:pgNumType w:fmt="decimal"/>
      <w:formProt w:val="false"/>
      <w:textDirection w:val="lrTb"/>
      <w:docGrid w:type="default" w:linePitch="100" w:charSpace="6144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MT">
    <w:charset w:val="00"/>
    <w:family w:val="roman"/>
    <w:pitch w:val="variable"/>
  </w:font>
  <w:font w:name="Arial">
    <w:charset w:val="00"/>
    <w:family w:val="roman"/>
    <w:pitch w:val="variable"/>
  </w:font>
  <w:font w:name="Liberation Sans">
    <w:altName w:val="Arial"/>
    <w:charset w:val="00"/>
    <w:family w:val="roman"/>
    <w:pitch w:val="variable"/>
  </w:font>
  <w:font w:name="Ecofont_Spranq_eco_Sans">
    <w:charset w:val="00"/>
    <w:family w:val="roman"/>
    <w:pitch w:val="variable"/>
  </w:font>
  <w:font w:name="Lucida Sans Unicode">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mc:AlternateContent>
        <mc:Choice Requires="wps">
          <w:drawing>
            <wp:anchor behindDoc="1" distT="0" distB="0" distL="0" distR="0" simplePos="0" locked="0" layoutInCell="0" allowOverlap="1" relativeHeight="887" wp14:anchorId="231FEA9C">
              <wp:simplePos x="0" y="0"/>
              <wp:positionH relativeFrom="margin">
                <wp:align>center</wp:align>
              </wp:positionH>
              <wp:positionV relativeFrom="margin">
                <wp:align>center</wp:align>
              </wp:positionV>
              <wp:extent cx="81915" cy="46355"/>
              <wp:effectExtent l="0" t="0" r="0" b="0"/>
              <wp:wrapNone/>
              <wp:docPr id="52" name="Figura3"/>
              <a:graphic xmlns:a="http://schemas.openxmlformats.org/drawingml/2006/main">
                <a:graphicData uri="http://schemas.microsoft.com/office/word/2010/wordprocessingShape">
                  <wps:wsp>
                    <wps:cNvSpPr/>
                    <wps:spPr>
                      <a:xfrm rot="18900000">
                        <a:off x="0" y="0"/>
                        <a:ext cx="81360" cy="457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30.6pt;margin-top:339.95pt;width:6.35pt;height:3.55pt;mso-wrap-style:square;v-text-anchor:middle;rotation:315;mso-position-horizontal:center;mso-position-horizontal-relative:margin;mso-position-vertical:center;mso-position-vertical-relative:margin" wp14:anchorId="231FEA9C">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w:r>
  </w:p>
  <w:p>
    <w:pPr>
      <w:pStyle w:val="Cabealho"/>
      <w:rPr/>
    </w:pPr>
    <w:r>
      <w:rPr/>
      <mc:AlternateContent>
        <mc:Choice Requires="wps">
          <w:drawing>
            <wp:anchor behindDoc="1" distT="0" distB="0" distL="0" distR="0" simplePos="0" locked="0" layoutInCell="0" allowOverlap="1" relativeHeight="887" wp14:anchorId="231FEA9C">
              <wp:simplePos x="0" y="0"/>
              <wp:positionH relativeFrom="margin">
                <wp:align>center</wp:align>
              </wp:positionH>
              <wp:positionV relativeFrom="margin">
                <wp:align>center</wp:align>
              </wp:positionV>
              <wp:extent cx="81915" cy="46355"/>
              <wp:effectExtent l="0" t="0" r="0" b="0"/>
              <wp:wrapNone/>
              <wp:docPr id="54" name="Figura3"/>
              <a:graphic xmlns:a="http://schemas.openxmlformats.org/drawingml/2006/main">
                <a:graphicData uri="http://schemas.microsoft.com/office/word/2010/wordprocessingShape">
                  <wps:wsp>
                    <wps:cNvSpPr/>
                    <wps:spPr>
                      <a:xfrm rot="18900000">
                        <a:off x="0" y="0"/>
                        <a:ext cx="81360" cy="457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3" path="m0,0l-2147483645,0l-2147483645,-2147483646l0,-2147483646xe" stroked="f" o:allowincell="f" style="position:absolute;margin-left:230.6pt;margin-top:339.95pt;width:6.35pt;height:3.55pt;mso-wrap-style:square;v-text-anchor:middle;rotation:315;mso-position-horizontal:center;mso-position-horizontal-relative:margin;mso-position-vertical:center;mso-position-vertical-relative:margin" wp14:anchorId="231FEA9C">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179" wp14:anchorId="6D1E9016">
              <wp:simplePos x="0" y="0"/>
              <wp:positionH relativeFrom="margin">
                <wp:align>center</wp:align>
              </wp:positionH>
              <wp:positionV relativeFrom="margin">
                <wp:align>center</wp:align>
              </wp:positionV>
              <wp:extent cx="77470" cy="41910"/>
              <wp:effectExtent l="0" t="0" r="0" b="0"/>
              <wp:wrapNone/>
              <wp:docPr id="3" name="shape_0"/>
              <a:graphic xmlns:a="http://schemas.openxmlformats.org/drawingml/2006/main">
                <a:graphicData uri="http://schemas.microsoft.com/office/word/2010/wordprocessingShape">
                  <wps:wsp>
                    <wps:cNvSpPr/>
                    <wps:spPr>
                      <a:xfrm rot="18900000">
                        <a:off x="0" y="0"/>
                        <a:ext cx="76680" cy="414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shape_0" ID="shape_0" path="m0,0l-2147483645,0l-2147483645,-2147483646l0,-2147483646xe" stroked="f" o:allowincell="f" style="position:absolute;margin-left:0pt;margin-top:-0.1pt;width:6pt;height:3.2pt;mso-wrap-style:square;v-text-anchor:middle;rotation:315;mso-position-horizontal:center;mso-position-horizontal-relative:margin;mso-position-vertical:center;mso-position-vertical-relative:margin" wp14:anchorId="6D1E9016">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34" wp14:anchorId="08E7784B">
              <wp:simplePos x="0" y="0"/>
              <wp:positionH relativeFrom="margin">
                <wp:align>center</wp:align>
              </wp:positionH>
              <wp:positionV relativeFrom="margin">
                <wp:align>center</wp:align>
              </wp:positionV>
              <wp:extent cx="73660" cy="38735"/>
              <wp:effectExtent l="0" t="0" r="0" b="0"/>
              <wp:wrapNone/>
              <wp:docPr id="5" name="PowerPlusWaterMarkObject184581719"/>
              <a:graphic xmlns:a="http://schemas.openxmlformats.org/drawingml/2006/main">
                <a:graphicData uri="http://schemas.microsoft.com/office/word/2010/wordprocessingShape">
                  <wps:wsp>
                    <wps:cNvSpPr/>
                    <wps:spPr>
                      <a:xfrm rot="18900000">
                        <a:off x="0" y="0"/>
                        <a:ext cx="73080" cy="381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19" o:spid="shape_0" path="m0,0l-2147483645,0l-2147483645,-2147483646l0,-2147483646xe" stroked="f" o:allowincell="f" style="position:absolute;margin-left:0pt;margin-top:-0.1pt;width:5.7pt;height:2.95pt;mso-wrap-style:square;v-text-anchor:middle;rotation:315;mso-position-horizontal:center;mso-position-horizontal-relative:margin;mso-position-vertical:center;mso-position-vertical-relative:margin" wp14:anchorId="08E7784B">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154" wp14:anchorId="6ABE8824">
              <wp:simplePos x="0" y="0"/>
              <wp:positionH relativeFrom="margin">
                <wp:align>center</wp:align>
              </wp:positionH>
              <wp:positionV relativeFrom="margin">
                <wp:align>center</wp:align>
              </wp:positionV>
              <wp:extent cx="65405" cy="30480"/>
              <wp:effectExtent l="0" t="0" r="0" b="0"/>
              <wp:wrapNone/>
              <wp:docPr id="7" name="PowerPlusWaterMarkObject1728513204"/>
              <a:graphic xmlns:a="http://schemas.openxmlformats.org/drawingml/2006/main">
                <a:graphicData uri="http://schemas.microsoft.com/office/word/2010/wordprocessingShape">
                  <wps:wsp>
                    <wps:cNvSpPr/>
                    <wps:spPr>
                      <a:xfrm rot="18900000">
                        <a:off x="0" y="0"/>
                        <a:ext cx="64800" cy="298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4" o:spid="shape_0" path="m0,0l-2147483645,0l-2147483645,-2147483646l0,-2147483646xe" stroked="f" o:allowincell="f" style="position:absolute;margin-left:0pt;margin-top:-0.05pt;width:5.05pt;height:2.3pt;mso-wrap-style:square;v-text-anchor:middle;rotation:315;mso-position-horizontal:center;mso-position-horizontal-relative:margin;mso-position-vertical:center;mso-position-vertical-relative:margin" wp14:anchorId="6ABE8824">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332" wp14:anchorId="1E2F700C">
              <wp:simplePos x="0" y="0"/>
              <wp:positionH relativeFrom="margin">
                <wp:align>center</wp:align>
              </wp:positionH>
              <wp:positionV relativeFrom="margin">
                <wp:align>center</wp:align>
              </wp:positionV>
              <wp:extent cx="62865" cy="27940"/>
              <wp:effectExtent l="0" t="0" r="0" b="0"/>
              <wp:wrapNone/>
              <wp:docPr id="9" name="PowerPlusWaterMarkObject1671008610"/>
              <a:graphic xmlns:a="http://schemas.openxmlformats.org/drawingml/2006/main">
                <a:graphicData uri="http://schemas.microsoft.com/office/word/2010/wordprocessingShape">
                  <wps:wsp>
                    <wps:cNvSpPr/>
                    <wps:spPr>
                      <a:xfrm rot="18900000">
                        <a:off x="0" y="0"/>
                        <a:ext cx="62280" cy="273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671008610" o:spid="shape_0" path="m0,0l-2147483645,0l-2147483645,-2147483646l0,-2147483646xe" stroked="f" o:allowincell="f" style="position:absolute;margin-left:0pt;margin-top:-0.05pt;width:4.85pt;height:2.1pt;mso-wrap-style:square;v-text-anchor:middle;rotation:315;mso-position-horizontal:center;mso-position-horizontal-relative:margin;mso-position-vertical:center;mso-position-vertical-relative:margin" wp14:anchorId="1E2F700C">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w:pict>
        <v:shapetype id="_x0000_t136" coordsize="21600,21600" o:spt="136" adj="10800" path="m@9,l@10,em@11,21600l@12,21600e">
          <v:stroke joinstyle="miter"/>
          <v:formulas>
            <v:f eqn="val #0"/>
            <v:f eqn="sum @0 0 10800"/>
            <v:f eqn="sum @0 0 0"/>
            <v:f eqn="sum width 0 @0"/>
            <v:f eqn="prod @2 2 1"/>
            <v:f eqn="prod @3 2 1"/>
            <v:f eqn="if @1 @5 @4"/>
            <v:f eqn="sum 0 @6 0"/>
            <v:f eqn="sum width 0 @6"/>
            <v:f eqn="if @1 0 @8"/>
            <v:f eqn="if @1 @7 width"/>
            <v:f eqn="if @1 @8 0"/>
            <v:f eqn="if @1 width @7"/>
          </v:formulas>
          <v:handles>
            <v:h position="@0,21600"/>
          </v:handles>
        </v:shapetype>
        <v:shape id="PowerPlusWaterMarkObject1821845594" o:spid="shape_0" fillcolor="silver" stroked="f" o:allowincell="f" style="position:absolute;margin-left:-64pt;margin-top:477.15pt;width:512.75pt;height:151.85pt;mso-wrap-style:none;v-text-anchor:middle;rotation:315;mso-position-horizontal:center;mso-position-horizontal-relative:margin;mso-position-vertical:center;mso-position-vertical-relative:margin" type="_x0000_t136">
          <v:path textpathok="t"/>
          <v:textpath on="t" fitshape="t" string="MINUTA" trim="t" style="font-family:&quot;Arial MT&quot;;font-size:1pt"/>
          <v:fill o:detectmouseclick="t" type="solid" color2="#3f3f3f" opacity="0.5"/>
          <v:stroke color="#3465a4" joinstyle="round" endcap="flat"/>
          <w10:wrap type="none"/>
        </v:shape>
      </w:pict>
      <w:pict>
        <v:shape id="shape_0" coordsize="2,1662" path="m0,0l0,0xm1,0l0,0l1,0xm0,0l0,0xm1,1661l0,0l1,1661xe" stroked="t" o:allowincell="f" style="position:absolute;margin-left:0.05pt;margin-top:0pt;width:0pt;height:47.05pt;mso-wrap-style:none;v-text-anchor:middle">
          <v:fill o:detectmouseclick="t" on="false"/>
          <v:stroke color="black" joinstyle="miter" endcap="flat"/>
          <w10:wrap type="none"/>
        </v:shape>
      </w:pict>
      <w:pict>
        <v:shape id="shape_0" coordsize="2,1655" path="m0,0l0,0xm1,0l0,0l1,0xm0,0l0,0xm1,1654l0,0l1,1654xe" stroked="t" o:allowincell="f" style="position:absolute;margin-left:0.05pt;margin-top:0pt;width:0pt;height:46.85pt;mso-wrap-style:none;v-text-anchor:middle">
          <v:fill o:detectmouseclick="t" on="false"/>
          <v:stroke color="black" joinstyle="miter" endcap="flat"/>
          <w10:wrap type="none"/>
        </v:shape>
      </w:pic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55" wp14:anchorId="718B3A77">
              <wp:simplePos x="0" y="0"/>
              <wp:positionH relativeFrom="margin">
                <wp:align>center</wp:align>
              </wp:positionH>
              <wp:positionV relativeFrom="margin">
                <wp:align>center</wp:align>
              </wp:positionV>
              <wp:extent cx="76835" cy="41910"/>
              <wp:effectExtent l="0" t="0" r="0" b="0"/>
              <wp:wrapNone/>
              <wp:docPr id="14" name="PowerPlusWaterMarkObject7897033"/>
              <a:graphic xmlns:a="http://schemas.openxmlformats.org/drawingml/2006/main">
                <a:graphicData uri="http://schemas.microsoft.com/office/word/2010/wordprocessingShape">
                  <wps:wsp>
                    <wps:cNvSpPr/>
                    <wps:spPr>
                      <a:xfrm rot="18900000">
                        <a:off x="0" y="0"/>
                        <a:ext cx="76320" cy="414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30.8pt;margin-top:340.1pt;width:5.95pt;height:3.2pt;mso-wrap-style:square;v-text-anchor:middle;rotation:315;mso-position-horizontal:center;mso-position-horizontal-relative:margin;mso-position-vertical:center;mso-position-vertical-relative:margin" wp14:anchorId="718B3A7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32" wp14:anchorId="3C56DE6C">
              <wp:simplePos x="0" y="0"/>
              <wp:positionH relativeFrom="margin">
                <wp:align>center</wp:align>
              </wp:positionH>
              <wp:positionV relativeFrom="margin">
                <wp:align>center</wp:align>
              </wp:positionV>
              <wp:extent cx="75565" cy="40640"/>
              <wp:effectExtent l="0" t="0" r="0" b="0"/>
              <wp:wrapNone/>
              <wp:docPr id="16" name="PowerPlusWaterMarkObject113444533"/>
              <a:graphic xmlns:a="http://schemas.openxmlformats.org/drawingml/2006/main">
                <a:graphicData uri="http://schemas.microsoft.com/office/word/2010/wordprocessingShape">
                  <wps:wsp>
                    <wps:cNvSpPr/>
                    <wps:spPr>
                      <a:xfrm rot="18900000">
                        <a:off x="0" y="0"/>
                        <a:ext cx="74880" cy="399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30.85pt;margin-top:340.2pt;width:5.85pt;height:3.1pt;mso-wrap-style:square;v-text-anchor:middle;rotation:315;mso-position-horizontal:center;mso-position-horizontal-relative:margin;mso-position-vertical:center;mso-position-vertical-relative:margin" wp14:anchorId="3C56DE6C">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10" wp14:anchorId="6893577E">
              <wp:simplePos x="0" y="0"/>
              <wp:positionH relativeFrom="margin">
                <wp:align>center</wp:align>
              </wp:positionH>
              <wp:positionV relativeFrom="margin">
                <wp:align>center</wp:align>
              </wp:positionV>
              <wp:extent cx="73660" cy="38735"/>
              <wp:effectExtent l="0" t="0" r="0" b="0"/>
              <wp:wrapNone/>
              <wp:docPr id="18" name="PowerPlusWaterMarkObject184581720"/>
              <a:graphic xmlns:a="http://schemas.openxmlformats.org/drawingml/2006/main">
                <a:graphicData uri="http://schemas.microsoft.com/office/word/2010/wordprocessingShape">
                  <wps:wsp>
                    <wps:cNvSpPr/>
                    <wps:spPr>
                      <a:xfrm rot="18900000">
                        <a:off x="0" y="0"/>
                        <a:ext cx="73080" cy="381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30.95pt;margin-top:340.25pt;width:5.7pt;height:2.95pt;mso-wrap-style:square;v-text-anchor:middle;rotation:315;mso-position-horizontal:center;mso-position-horizontal-relative:margin;mso-position-vertical:center;mso-position-vertical-relative:margin" wp14:anchorId="6893577E">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152" wp14:anchorId="7CC1185E">
              <wp:simplePos x="0" y="0"/>
              <wp:positionH relativeFrom="margin">
                <wp:align>center</wp:align>
              </wp:positionH>
              <wp:positionV relativeFrom="margin">
                <wp:align>center</wp:align>
              </wp:positionV>
              <wp:extent cx="69215" cy="34290"/>
              <wp:effectExtent l="0" t="0" r="0" b="0"/>
              <wp:wrapNone/>
              <wp:docPr id="20" name="PowerPlusWaterMarkObject1728513205"/>
              <a:graphic xmlns:a="http://schemas.openxmlformats.org/drawingml/2006/main">
                <a:graphicData uri="http://schemas.microsoft.com/office/word/2010/wordprocessingShape">
                  <wps:wsp>
                    <wps:cNvSpPr/>
                    <wps:spPr>
                      <a:xfrm rot="18900000">
                        <a:off x="0" y="0"/>
                        <a:ext cx="68760" cy="334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31.1pt;margin-top:340.45pt;width:5.35pt;height:2.6pt;mso-wrap-style:square;v-text-anchor:middle;rotation:315;mso-position-horizontal:center;mso-position-horizontal-relative:margin;mso-position-vertical:center;mso-position-vertical-relative:margin" wp14:anchorId="7CC1185E">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330" wp14:anchorId="64BF9679">
              <wp:simplePos x="0" y="0"/>
              <wp:positionH relativeFrom="margin">
                <wp:align>center</wp:align>
              </wp:positionH>
              <wp:positionV relativeFrom="margin">
                <wp:align>center</wp:align>
              </wp:positionV>
              <wp:extent cx="64135" cy="29210"/>
              <wp:effectExtent l="0" t="0" r="0" b="0"/>
              <wp:wrapNone/>
              <wp:docPr id="22" name="PowerPlusWaterMarkObject1671008611"/>
              <a:graphic xmlns:a="http://schemas.openxmlformats.org/drawingml/2006/main">
                <a:graphicData uri="http://schemas.microsoft.com/office/word/2010/wordprocessingShape">
                  <wps:wsp>
                    <wps:cNvSpPr/>
                    <wps:spPr>
                      <a:xfrm rot="18900000">
                        <a:off x="0" y="0"/>
                        <a:ext cx="6336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671008611" o:spid="shape_0" path="m0,0l-2147483645,0l-2147483645,-2147483646l0,-2147483646xe" stroked="f" o:allowincell="f" style="position:absolute;margin-left:231.3pt;margin-top:340.6pt;width:4.95pt;height:2.2pt;mso-wrap-style:square;v-text-anchor:middle;rotation:315;mso-position-horizontal:center;mso-position-horizontal-relative:margin;mso-position-vertical:center;mso-position-vertical-relative:margin" wp14:anchorId="64BF9679">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508" wp14:anchorId="081DD327">
              <wp:simplePos x="0" y="0"/>
              <wp:positionH relativeFrom="margin">
                <wp:align>center</wp:align>
              </wp:positionH>
              <wp:positionV relativeFrom="margin">
                <wp:align>center</wp:align>
              </wp:positionV>
              <wp:extent cx="57785" cy="22860"/>
              <wp:effectExtent l="0" t="0" r="0" b="0"/>
              <wp:wrapNone/>
              <wp:docPr id="24" name="PowerPlusWaterMarkObject1044945033"/>
              <a:graphic xmlns:a="http://schemas.openxmlformats.org/drawingml/2006/main">
                <a:graphicData uri="http://schemas.microsoft.com/office/word/2010/wordprocessingShape">
                  <wps:wsp>
                    <wps:cNvSpPr/>
                    <wps:spPr>
                      <a:xfrm rot="18900000">
                        <a:off x="0" y="0"/>
                        <a:ext cx="57240" cy="2232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44945033" o:spid="shape_0" path="m0,0l-2147483645,0l-2147483645,-2147483646l0,-2147483646xe" stroked="f" o:allowincell="f" style="position:absolute;margin-left:231.65pt;margin-top:340.85pt;width:4.45pt;height:1.7pt;mso-wrap-style:square;v-text-anchor:middle;rotation:315;mso-position-horizontal:center;mso-position-horizontal-relative:margin;mso-position-vertical:center;mso-position-vertical-relative:margin" wp14:anchorId="081DD327">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685" wp14:anchorId="01262798">
              <wp:simplePos x="0" y="0"/>
              <wp:positionH relativeFrom="margin">
                <wp:align>center</wp:align>
              </wp:positionH>
              <wp:positionV relativeFrom="margin">
                <wp:align>center</wp:align>
              </wp:positionV>
              <wp:extent cx="56515" cy="21590"/>
              <wp:effectExtent l="0" t="0" r="0" b="0"/>
              <wp:wrapNone/>
              <wp:docPr id="26" name="PowerPlusWaterMarkObject1084243455"/>
              <a:graphic xmlns:a="http://schemas.openxmlformats.org/drawingml/2006/main">
                <a:graphicData uri="http://schemas.microsoft.com/office/word/2010/wordprocessingShape">
                  <wps:wsp>
                    <wps:cNvSpPr/>
                    <wps:spPr>
                      <a:xfrm rot="18900000">
                        <a:off x="0" y="0"/>
                        <a:ext cx="55800" cy="2088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84243455" o:spid="shape_0" path="m0,0l-2147483645,0l-2147483645,-2147483646l0,-2147483646xe" stroked="f" o:allowincell="f" style="position:absolute;margin-left:231.65pt;margin-top:340.95pt;width:4.35pt;height:1.6pt;mso-wrap-style:square;v-text-anchor:middle;rotation:315;mso-position-horizontal:center;mso-position-horizontal-relative:margin;mso-position-vertical:center;mso-position-vertical-relative:margin" wp14:anchorId="01262798">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862">
              <wp:simplePos x="0" y="0"/>
              <wp:positionH relativeFrom="margin">
                <wp:align>center</wp:align>
              </wp:positionH>
              <wp:positionV relativeFrom="margin">
                <wp:align>center</wp:align>
              </wp:positionV>
              <wp:extent cx="51435" cy="16510"/>
              <wp:effectExtent l="0" t="0" r="0" b="0"/>
              <wp:wrapNone/>
              <wp:docPr id="28" name="PowerPlusWaterMarkObject1821845595"/>
              <a:graphic xmlns:a="http://schemas.openxmlformats.org/drawingml/2006/main">
                <a:graphicData uri="http://schemas.microsoft.com/office/word/2010/wordprocessingShape">
                  <wps:wsp>
                    <wps:cNvSpPr/>
                    <wps:spPr>
                      <a:xfrm rot="18900000">
                        <a:off x="0" y="0"/>
                        <a:ext cx="50760" cy="15840"/>
                      </a:xfrm>
                      <a:prstGeom prst="rect">
                        <a:avLst/>
                      </a:prstGeom>
                      <a:noFill/>
                      <a:ln w="0">
                        <a:noFill/>
                      </a:ln>
                    </wps:spPr>
                    <wps:style>
                      <a:lnRef idx="0"/>
                      <a:fillRef idx="0"/>
                      <a:effectRef idx="0"/>
                      <a:fontRef idx="minor"/>
                    </wps:style>
                    <wps:txbx>
                      <w:txbxContent>
                        <w:p>
                          <w:pPr>
                            <w:pStyle w:val="Contedodoquadro"/>
                            <w:overflowPunct w:val="true"/>
                            <w:rPr/>
                          </w:pPr>
                          <w:r>
                            <w:rPr>
                              <w:rFonts w:eastAsia="Calibri" w:cs="" w:cstheme="minorBidi" w:eastAsiaTheme="minorHAnsi"/>
                              <w:sz w:val="2"/>
                              <w:lang w:val="en-US"/>
                            </w:rPr>
                            <w:t>MINUTA</w:t>
                          </w:r>
                        </w:p>
                      </w:txbxContent>
                    </wps:txbx>
                    <wps:bodyPr lIns="0" rIns="0" tIns="0" bIns="0" anchor="ctr">
                      <a:prstTxWarp prst="textPlain"/>
                      <a:noAutofit/>
                    </wps:bodyPr>
                  </wps:wsp>
                </a:graphicData>
              </a:graphic>
            </wp:anchor>
          </w:drawing>
        </mc:Choice>
        <mc:Fallback>
          <w:pict>
            <v:rect id="PowerPlusWaterMarkObject1821845595" o:spid="shape_0" path="m0,0l-2147483645,0l-2147483645,-2147483646l0,-2147483646xe" stroked="f" o:allowincell="f" style="position:absolute;margin-left:231.9pt;margin-top:341.1pt;width:3.95pt;height:1.2pt;mso-wrap-style:none;v-text-anchor:middle;rotation:315;mso-position-horizontal:center;mso-position-horizontal-relative:margin;mso-position-vertical:center;mso-position-vertical-relative:margin">
              <v:fill o:detectmouseclick="t" on="false"/>
              <v:stroke color="#3465a4" joinstyle="round" endcap="flat"/>
              <v:textbox>
                <w:txbxContent>
                  <w:p>
                    <w:pPr>
                      <w:pStyle w:val="Contedodoquadro"/>
                      <w:overflowPunct w:val="true"/>
                      <w:rPr/>
                    </w:pPr>
                    <w:r>
                      <w:rPr>
                        <w:rFonts w:eastAsia="Calibri" w:cs="" w:cstheme="minorBidi" w:eastAsiaTheme="minorHAnsi"/>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77" wp14:anchorId="65737482">
              <wp:simplePos x="0" y="0"/>
              <wp:positionH relativeFrom="margin">
                <wp:align>center</wp:align>
              </wp:positionH>
              <wp:positionV relativeFrom="margin">
                <wp:align>center</wp:align>
              </wp:positionV>
              <wp:extent cx="81915" cy="46355"/>
              <wp:effectExtent l="0" t="0" r="0" b="0"/>
              <wp:wrapNone/>
              <wp:docPr id="30" name="Figura1"/>
              <a:graphic xmlns:a="http://schemas.openxmlformats.org/drawingml/2006/main">
                <a:graphicData uri="http://schemas.microsoft.com/office/word/2010/wordprocessingShape">
                  <wps:wsp>
                    <wps:cNvSpPr/>
                    <wps:spPr>
                      <a:xfrm rot="18900000">
                        <a:off x="0" y="0"/>
                        <a:ext cx="81360" cy="457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30.6pt;margin-top:339.95pt;width:6.35pt;height:3.55pt;mso-wrap-style:square;v-text-anchor:middle;rotation:315;mso-position-horizontal:center;mso-position-horizontal-relative:margin;mso-position-vertical:center;mso-position-vertical-relative:margin" wp14:anchorId="65737482">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976">
          <wp:simplePos x="0" y="0"/>
          <wp:positionH relativeFrom="column">
            <wp:posOffset>22225</wp:posOffset>
          </wp:positionH>
          <wp:positionV relativeFrom="paragraph">
            <wp:posOffset>-86995</wp:posOffset>
          </wp:positionV>
          <wp:extent cx="2150745" cy="650875"/>
          <wp:effectExtent l="0" t="0" r="0" b="0"/>
          <wp:wrapNone/>
          <wp:docPr id="32"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pPr>
    <w:r>
      <w:rPr/>
      <mc:AlternateContent>
        <mc:Choice Requires="wps">
          <w:drawing>
            <wp:anchor behindDoc="1" distT="0" distB="0" distL="0" distR="0" simplePos="0" locked="0" layoutInCell="0" allowOverlap="1" relativeHeight="355" wp14:anchorId="718B3A77">
              <wp:simplePos x="0" y="0"/>
              <wp:positionH relativeFrom="margin">
                <wp:align>center</wp:align>
              </wp:positionH>
              <wp:positionV relativeFrom="margin">
                <wp:align>center</wp:align>
              </wp:positionV>
              <wp:extent cx="76835" cy="41910"/>
              <wp:effectExtent l="0" t="0" r="0" b="0"/>
              <wp:wrapNone/>
              <wp:docPr id="33" name="PowerPlusWaterMarkObject7897033"/>
              <a:graphic xmlns:a="http://schemas.openxmlformats.org/drawingml/2006/main">
                <a:graphicData uri="http://schemas.microsoft.com/office/word/2010/wordprocessingShape">
                  <wps:wsp>
                    <wps:cNvSpPr/>
                    <wps:spPr>
                      <a:xfrm rot="18900000">
                        <a:off x="0" y="0"/>
                        <a:ext cx="76320" cy="4140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7897033" o:spid="shape_0" path="m0,0l-2147483645,0l-2147483645,-2147483646l0,-2147483646xe" stroked="f" o:allowincell="f" style="position:absolute;margin-left:230.8pt;margin-top:340.1pt;width:5.95pt;height:3.2pt;mso-wrap-style:square;v-text-anchor:middle;rotation:315;mso-position-horizontal:center;mso-position-horizontal-relative:margin;mso-position-vertical:center;mso-position-vertical-relative:margin" wp14:anchorId="718B3A77">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532" wp14:anchorId="3C56DE6C">
              <wp:simplePos x="0" y="0"/>
              <wp:positionH relativeFrom="margin">
                <wp:align>center</wp:align>
              </wp:positionH>
              <wp:positionV relativeFrom="margin">
                <wp:align>center</wp:align>
              </wp:positionV>
              <wp:extent cx="75565" cy="40640"/>
              <wp:effectExtent l="0" t="0" r="0" b="0"/>
              <wp:wrapNone/>
              <wp:docPr id="35" name="PowerPlusWaterMarkObject113444533"/>
              <a:graphic xmlns:a="http://schemas.openxmlformats.org/drawingml/2006/main">
                <a:graphicData uri="http://schemas.microsoft.com/office/word/2010/wordprocessingShape">
                  <wps:wsp>
                    <wps:cNvSpPr/>
                    <wps:spPr>
                      <a:xfrm rot="18900000">
                        <a:off x="0" y="0"/>
                        <a:ext cx="74880" cy="399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13444533" o:spid="shape_0" path="m0,0l-2147483645,0l-2147483645,-2147483646l0,-2147483646xe" stroked="f" o:allowincell="f" style="position:absolute;margin-left:230.85pt;margin-top:340.2pt;width:5.85pt;height:3.1pt;mso-wrap-style:square;v-text-anchor:middle;rotation:315;mso-position-horizontal:center;mso-position-horizontal-relative:margin;mso-position-vertical:center;mso-position-vertical-relative:margin" wp14:anchorId="3C56DE6C">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710" wp14:anchorId="6893577E">
              <wp:simplePos x="0" y="0"/>
              <wp:positionH relativeFrom="margin">
                <wp:align>center</wp:align>
              </wp:positionH>
              <wp:positionV relativeFrom="margin">
                <wp:align>center</wp:align>
              </wp:positionV>
              <wp:extent cx="73660" cy="38735"/>
              <wp:effectExtent l="0" t="0" r="0" b="0"/>
              <wp:wrapNone/>
              <wp:docPr id="37" name="PowerPlusWaterMarkObject184581720"/>
              <a:graphic xmlns:a="http://schemas.openxmlformats.org/drawingml/2006/main">
                <a:graphicData uri="http://schemas.microsoft.com/office/word/2010/wordprocessingShape">
                  <wps:wsp>
                    <wps:cNvSpPr/>
                    <wps:spPr>
                      <a:xfrm rot="18900000">
                        <a:off x="0" y="0"/>
                        <a:ext cx="73080" cy="3816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84581720" o:spid="shape_0" path="m0,0l-2147483645,0l-2147483645,-2147483646l0,-2147483646xe" stroked="f" o:allowincell="f" style="position:absolute;margin-left:230.95pt;margin-top:340.25pt;width:5.7pt;height:2.95pt;mso-wrap-style:square;v-text-anchor:middle;rotation:315;mso-position-horizontal:center;mso-position-horizontal-relative:margin;mso-position-vertical:center;mso-position-vertical-relative:margin" wp14:anchorId="6893577E">
              <v:fill o:detectmouseclick="t" on="false"/>
              <v:stroke color="#3465a4" joinstyle="round" endcap="flat"/>
              <v:textbox>
                <w:txbxContent>
                  <w:p>
                    <w:pPr>
                      <w:pStyle w:val="Contedodoquadro"/>
                      <w:rPr>
                        <w:color w:val="000000"/>
                      </w:rPr>
                    </w:pPr>
                    <w:r>
                      <w:rPr>
                        <w:rFonts w:eastAsia="Calibr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152" wp14:anchorId="7CC1185E">
              <wp:simplePos x="0" y="0"/>
              <wp:positionH relativeFrom="margin">
                <wp:align>center</wp:align>
              </wp:positionH>
              <wp:positionV relativeFrom="margin">
                <wp:align>center</wp:align>
              </wp:positionV>
              <wp:extent cx="69215" cy="34290"/>
              <wp:effectExtent l="0" t="0" r="0" b="0"/>
              <wp:wrapNone/>
              <wp:docPr id="39" name="PowerPlusWaterMarkObject1728513205"/>
              <a:graphic xmlns:a="http://schemas.openxmlformats.org/drawingml/2006/main">
                <a:graphicData uri="http://schemas.microsoft.com/office/word/2010/wordprocessingShape">
                  <wps:wsp>
                    <wps:cNvSpPr/>
                    <wps:spPr>
                      <a:xfrm rot="18900000">
                        <a:off x="0" y="0"/>
                        <a:ext cx="68760" cy="3348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728513205" o:spid="shape_0" path="m0,0l-2147483645,0l-2147483645,-2147483646l0,-2147483646xe" stroked="f" o:allowincell="f" style="position:absolute;margin-left:231.1pt;margin-top:340.45pt;width:5.35pt;height:2.6pt;mso-wrap-style:square;v-text-anchor:middle;rotation:315;mso-position-horizontal:center;mso-position-horizontal-relative:margin;mso-position-vertical:center;mso-position-vertical-relative:margin" wp14:anchorId="7CC1185E">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330" wp14:anchorId="64BF9679">
              <wp:simplePos x="0" y="0"/>
              <wp:positionH relativeFrom="margin">
                <wp:align>center</wp:align>
              </wp:positionH>
              <wp:positionV relativeFrom="margin">
                <wp:align>center</wp:align>
              </wp:positionV>
              <wp:extent cx="64135" cy="29210"/>
              <wp:effectExtent l="0" t="0" r="0" b="0"/>
              <wp:wrapNone/>
              <wp:docPr id="41" name="PowerPlusWaterMarkObject1671008611"/>
              <a:graphic xmlns:a="http://schemas.openxmlformats.org/drawingml/2006/main">
                <a:graphicData uri="http://schemas.microsoft.com/office/word/2010/wordprocessingShape">
                  <wps:wsp>
                    <wps:cNvSpPr/>
                    <wps:spPr>
                      <a:xfrm rot="18900000">
                        <a:off x="0" y="0"/>
                        <a:ext cx="63360" cy="2844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671008611" o:spid="shape_0" path="m0,0l-2147483645,0l-2147483645,-2147483646l0,-2147483646xe" stroked="f" o:allowincell="f" style="position:absolute;margin-left:231.3pt;margin-top:340.6pt;width:4.95pt;height:2.2pt;mso-wrap-style:square;v-text-anchor:middle;rotation:315;mso-position-horizontal:center;mso-position-horizontal-relative:margin;mso-position-vertical:center;mso-position-vertical-relative:margin" wp14:anchorId="64BF9679">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508" wp14:anchorId="081DD327">
              <wp:simplePos x="0" y="0"/>
              <wp:positionH relativeFrom="margin">
                <wp:align>center</wp:align>
              </wp:positionH>
              <wp:positionV relativeFrom="margin">
                <wp:align>center</wp:align>
              </wp:positionV>
              <wp:extent cx="57785" cy="22860"/>
              <wp:effectExtent l="0" t="0" r="0" b="0"/>
              <wp:wrapNone/>
              <wp:docPr id="43" name="PowerPlusWaterMarkObject1044945033"/>
              <a:graphic xmlns:a="http://schemas.openxmlformats.org/drawingml/2006/main">
                <a:graphicData uri="http://schemas.microsoft.com/office/word/2010/wordprocessingShape">
                  <wps:wsp>
                    <wps:cNvSpPr/>
                    <wps:spPr>
                      <a:xfrm rot="18900000">
                        <a:off x="0" y="0"/>
                        <a:ext cx="57240" cy="2232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44945033" o:spid="shape_0" path="m0,0l-2147483645,0l-2147483645,-2147483646l0,-2147483646xe" stroked="f" o:allowincell="f" style="position:absolute;margin-left:231.65pt;margin-top:340.85pt;width:4.45pt;height:1.7pt;mso-wrap-style:square;v-text-anchor:middle;rotation:315;mso-position-horizontal:center;mso-position-horizontal-relative:margin;mso-position-vertical:center;mso-position-vertical-relative:margin" wp14:anchorId="081DD327">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685" wp14:anchorId="01262798">
              <wp:simplePos x="0" y="0"/>
              <wp:positionH relativeFrom="margin">
                <wp:align>center</wp:align>
              </wp:positionH>
              <wp:positionV relativeFrom="margin">
                <wp:align>center</wp:align>
              </wp:positionV>
              <wp:extent cx="56515" cy="21590"/>
              <wp:effectExtent l="0" t="0" r="0" b="0"/>
              <wp:wrapNone/>
              <wp:docPr id="45" name="PowerPlusWaterMarkObject1084243455"/>
              <a:graphic xmlns:a="http://schemas.openxmlformats.org/drawingml/2006/main">
                <a:graphicData uri="http://schemas.microsoft.com/office/word/2010/wordprocessingShape">
                  <wps:wsp>
                    <wps:cNvSpPr/>
                    <wps:spPr>
                      <a:xfrm rot="18900000">
                        <a:off x="0" y="0"/>
                        <a:ext cx="55800" cy="20880"/>
                      </a:xfrm>
                      <a:prstGeom prst="rect">
                        <a:avLst/>
                      </a:prstGeom>
                      <a:noFill/>
                      <a:ln w="0">
                        <a:noFill/>
                      </a:ln>
                    </wps:spPr>
                    <wps:style>
                      <a:lnRef idx="0"/>
                      <a:fillRef idx="0"/>
                      <a:effectRef idx="0"/>
                      <a:fontRef idx="minor"/>
                    </wps:style>
                    <wps:txbx>
                      <w:txbxContent>
                        <w:p>
                          <w:pPr>
                            <w:pStyle w:val="Contedodoquadro"/>
                            <w:overflowPunct w:val="true"/>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PowerPlusWaterMarkObject1084243455" o:spid="shape_0" path="m0,0l-2147483645,0l-2147483645,-2147483646l0,-2147483646xe" stroked="f" o:allowincell="f" style="position:absolute;margin-left:231.65pt;margin-top:340.95pt;width:4.35pt;height:1.6pt;mso-wrap-style:square;v-text-anchor:middle;rotation:315;mso-position-horizontal:center;mso-position-horizontal-relative:margin;mso-position-vertical:center;mso-position-vertical-relative:margin" wp14:anchorId="01262798">
              <v:fill o:detectmouseclick="t" on="false"/>
              <v:stroke color="#3465a4" joinstyle="round" endcap="flat"/>
              <v:textbox>
                <w:txbxContent>
                  <w:p>
                    <w:pPr>
                      <w:pStyle w:val="Contedodoquadro"/>
                      <w:overflowPunct w:val="true"/>
                      <w:rPr>
                        <w:color w:val="000000"/>
                      </w:rPr>
                    </w:pPr>
                    <w:r>
                      <w:rPr>
                        <w:rFonts w:eastAsia="Calibri" w:cs="" w:cstheme="minorBidi" w:eastAsiaTheme="minorHAnsi"/>
                        <w:color w:val="000000"/>
                        <w:sz w:val="2"/>
                        <w:lang w:val="en-US"/>
                      </w:rPr>
                      <w:t>MINUTA</w:t>
                    </w:r>
                  </w:p>
                </w:txbxContent>
              </v:textbox>
              <w10:wrap type="none"/>
            </v:rect>
          </w:pict>
        </mc:Fallback>
      </mc:AlternateContent>
      <mc:AlternateContent>
        <mc:Choice Requires="wps">
          <w:drawing>
            <wp:anchor behindDoc="1" distT="0" distB="0" distL="0" distR="0" simplePos="0" locked="0" layoutInCell="0" allowOverlap="1" relativeHeight="1862">
              <wp:simplePos x="0" y="0"/>
              <wp:positionH relativeFrom="margin">
                <wp:align>center</wp:align>
              </wp:positionH>
              <wp:positionV relativeFrom="margin">
                <wp:align>center</wp:align>
              </wp:positionV>
              <wp:extent cx="51435" cy="16510"/>
              <wp:effectExtent l="0" t="0" r="0" b="0"/>
              <wp:wrapNone/>
              <wp:docPr id="47" name="PowerPlusWaterMarkObject1821845595"/>
              <a:graphic xmlns:a="http://schemas.openxmlformats.org/drawingml/2006/main">
                <a:graphicData uri="http://schemas.microsoft.com/office/word/2010/wordprocessingShape">
                  <wps:wsp>
                    <wps:cNvSpPr/>
                    <wps:spPr>
                      <a:xfrm rot="18900000">
                        <a:off x="0" y="0"/>
                        <a:ext cx="50760" cy="15840"/>
                      </a:xfrm>
                      <a:prstGeom prst="rect">
                        <a:avLst/>
                      </a:prstGeom>
                      <a:noFill/>
                      <a:ln w="0">
                        <a:noFill/>
                      </a:ln>
                    </wps:spPr>
                    <wps:style>
                      <a:lnRef idx="0"/>
                      <a:fillRef idx="0"/>
                      <a:effectRef idx="0"/>
                      <a:fontRef idx="minor"/>
                    </wps:style>
                    <wps:txbx>
                      <w:txbxContent>
                        <w:p>
                          <w:pPr>
                            <w:pStyle w:val="Contedodoquadro"/>
                            <w:overflowPunct w:val="true"/>
                            <w:rPr/>
                          </w:pPr>
                          <w:r>
                            <w:rPr>
                              <w:rFonts w:eastAsia="Calibri" w:cs="" w:cstheme="minorBidi" w:eastAsiaTheme="minorHAnsi"/>
                              <w:sz w:val="2"/>
                              <w:lang w:val="en-US"/>
                            </w:rPr>
                            <w:t>MINUTA</w:t>
                          </w:r>
                        </w:p>
                      </w:txbxContent>
                    </wps:txbx>
                    <wps:bodyPr lIns="0" rIns="0" tIns="0" bIns="0" anchor="ctr">
                      <a:prstTxWarp prst="textPlain"/>
                      <a:noAutofit/>
                    </wps:bodyPr>
                  </wps:wsp>
                </a:graphicData>
              </a:graphic>
            </wp:anchor>
          </w:drawing>
        </mc:Choice>
        <mc:Fallback>
          <w:pict>
            <v:rect id="PowerPlusWaterMarkObject1821845595" o:spid="shape_0" path="m0,0l-2147483645,0l-2147483645,-2147483646l0,-2147483646xe" stroked="f" o:allowincell="f" style="position:absolute;margin-left:231.9pt;margin-top:341.1pt;width:3.95pt;height:1.2pt;mso-wrap-style:none;v-text-anchor:middle;rotation:315;mso-position-horizontal:center;mso-position-horizontal-relative:margin;mso-position-vertical:center;mso-position-vertical-relative:margin">
              <v:fill o:detectmouseclick="t" on="false"/>
              <v:stroke color="#3465a4" joinstyle="round" endcap="flat"/>
              <v:textbox>
                <w:txbxContent>
                  <w:p>
                    <w:pPr>
                      <w:pStyle w:val="Contedodoquadro"/>
                      <w:overflowPunct w:val="true"/>
                      <w:rPr/>
                    </w:pPr>
                    <w:r>
                      <w:rPr>
                        <w:rFonts w:eastAsia="Calibri" w:cs="" w:cstheme="minorBidi" w:eastAsiaTheme="minorHAnsi"/>
                        <w:sz w:val="2"/>
                        <w:lang w:val="en-US"/>
                      </w:rPr>
                      <w:t>MINUTA</w:t>
                    </w:r>
                  </w:p>
                </w:txbxContent>
              </v:textbox>
              <w10:wrap type="none"/>
            </v:rect>
          </w:pict>
        </mc:Fallback>
      </mc:AlternateContent>
    </w:r>
  </w:p>
  <w:p>
    <w:pPr>
      <w:pStyle w:val="Cabealho"/>
      <w:rPr/>
    </w:pPr>
    <w:r>
      <w:rPr/>
      <mc:AlternateContent>
        <mc:Choice Requires="wps">
          <w:drawing>
            <wp:anchor behindDoc="1" distT="0" distB="0" distL="0" distR="0" simplePos="0" locked="0" layoutInCell="0" allowOverlap="1" relativeHeight="177" wp14:anchorId="65737482">
              <wp:simplePos x="0" y="0"/>
              <wp:positionH relativeFrom="margin">
                <wp:align>center</wp:align>
              </wp:positionH>
              <wp:positionV relativeFrom="margin">
                <wp:align>center</wp:align>
              </wp:positionV>
              <wp:extent cx="81915" cy="46355"/>
              <wp:effectExtent l="0" t="0" r="0" b="0"/>
              <wp:wrapNone/>
              <wp:docPr id="49" name="Figura1"/>
              <a:graphic xmlns:a="http://schemas.openxmlformats.org/drawingml/2006/main">
                <a:graphicData uri="http://schemas.microsoft.com/office/word/2010/wordprocessingShape">
                  <wps:wsp>
                    <wps:cNvSpPr/>
                    <wps:spPr>
                      <a:xfrm rot="18900000">
                        <a:off x="0" y="0"/>
                        <a:ext cx="81360" cy="45720"/>
                      </a:xfrm>
                      <a:prstGeom prst="rect">
                        <a:avLst/>
                      </a:prstGeom>
                      <a:noFill/>
                      <a:ln w="0">
                        <a:noFill/>
                      </a:ln>
                    </wps:spPr>
                    <wps:style>
                      <a:lnRef idx="0"/>
                      <a:fillRef idx="0"/>
                      <a:effectRef idx="0"/>
                      <a:fontRef idx="minor"/>
                    </wps:style>
                    <wps:txbx>
                      <w:txbxContent>
                        <w:p>
                          <w:pPr>
                            <w:pStyle w:val="Contedodoquadro"/>
                            <w:rPr>
                              <w:color w:val="000000"/>
                            </w:rPr>
                          </w:pPr>
                          <w:r>
                            <w:rPr>
                              <w:rFonts w:eastAsia="Calibri" w:cs="" w:cstheme="minorBidi" w:eastAsiaTheme="minorHAnsi"/>
                              <w:color w:val="000000"/>
                              <w:sz w:val="2"/>
                              <w:lang w:val="en-US"/>
                            </w:rPr>
                            <w:t>MINUTA</w:t>
                          </w:r>
                        </w:p>
                      </w:txbxContent>
                    </wps:txbx>
                    <wps:bodyPr lIns="0" rIns="0" tIns="0" bIns="0" anchor="ctr">
                      <a:prstTxWarp prst="textPlain"/>
                      <a:noAutofit/>
                    </wps:bodyPr>
                  </wps:wsp>
                </a:graphicData>
              </a:graphic>
            </wp:anchor>
          </w:drawing>
        </mc:Choice>
        <mc:Fallback>
          <w:pict>
            <v:rect id="shape_0" ID="Figura1" path="m0,0l-2147483645,0l-2147483645,-2147483646l0,-2147483646xe" stroked="f" o:allowincell="f" style="position:absolute;margin-left:230.6pt;margin-top:339.95pt;width:6.35pt;height:3.55pt;mso-wrap-style:square;v-text-anchor:middle;rotation:315;mso-position-horizontal:center;mso-position-horizontal-relative:margin;mso-position-vertical:center;mso-position-vertical-relative:margin" wp14:anchorId="65737482">
              <v:fill o:detectmouseclick="t" on="false"/>
              <v:stroke color="#3465a4" joinstyle="round" endcap="flat"/>
              <v:textbox>
                <w:txbxContent>
                  <w:p>
                    <w:pPr>
                      <w:pStyle w:val="Contedodoquadro"/>
                      <w:rPr>
                        <w:color w:val="000000"/>
                      </w:rPr>
                    </w:pPr>
                    <w:r>
                      <w:rPr>
                        <w:rFonts w:eastAsia="Calibri" w:cs="" w:cstheme="minorBidi" w:eastAsiaTheme="minorHAnsi"/>
                        <w:color w:val="000000"/>
                        <w:sz w:val="2"/>
                        <w:lang w:val="en-US"/>
                      </w:rPr>
                      <w:t>MINUTA</w:t>
                    </w:r>
                  </w:p>
                </w:txbxContent>
              </v:textbox>
              <w10:wrap type="none"/>
            </v:rect>
          </w:pict>
        </mc:Fallback>
      </mc:AlternateContent>
      <w:drawing>
        <wp:anchor behindDoc="1" distT="0" distB="0" distL="0" distR="0" simplePos="0" locked="0" layoutInCell="0" allowOverlap="1" relativeHeight="976">
          <wp:simplePos x="0" y="0"/>
          <wp:positionH relativeFrom="column">
            <wp:posOffset>22225</wp:posOffset>
          </wp:positionH>
          <wp:positionV relativeFrom="paragraph">
            <wp:posOffset>-86995</wp:posOffset>
          </wp:positionV>
          <wp:extent cx="2150745" cy="650875"/>
          <wp:effectExtent l="0" t="0" r="0" b="0"/>
          <wp:wrapNone/>
          <wp:docPr id="51" name="Figura5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Figura53" descr=""/>
                  <pic:cNvPicPr>
                    <a:picLocks noChangeAspect="1" noChangeArrowheads="1"/>
                  </pic:cNvPicPr>
                </pic:nvPicPr>
                <pic:blipFill>
                  <a:blip r:embed="rId1"/>
                  <a:srcRect l="-45" t="-138" r="-45" b="-138"/>
                  <a:stretch>
                    <a:fillRect/>
                  </a:stretch>
                </pic:blipFill>
                <pic:spPr bwMode="auto">
                  <a:xfrm>
                    <a:off x="0" y="0"/>
                    <a:ext cx="2150745" cy="65087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862" w:hanging="360"/>
      </w:pPr>
      <w:rPr>
        <w:rFonts w:ascii="Lucida Sans Unicode" w:hAnsi="Lucida Sans Unicode" w:cs="Lucida Sans Unicode" w:hint="default"/>
        <w:sz w:val="20"/>
        <w:szCs w:val="20"/>
        <w:w w:val="56"/>
        <w:lang w:val="pt-PT" w:eastAsia="en-US" w:bidi="ar-SA"/>
      </w:rPr>
    </w:lvl>
    <w:lvl w:ilvl="1">
      <w:start w:val="0"/>
      <w:numFmt w:val="bullet"/>
      <w:lvlText w:val=""/>
      <w:lvlJc w:val="left"/>
      <w:pPr>
        <w:tabs>
          <w:tab w:val="num" w:pos="0"/>
        </w:tabs>
        <w:ind w:left="1786" w:hanging="360"/>
      </w:pPr>
      <w:rPr>
        <w:rFonts w:ascii="Symbol" w:hAnsi="Symbol" w:cs="Symbol" w:hint="default"/>
        <w:lang w:val="pt-PT" w:eastAsia="en-US" w:bidi="ar-SA"/>
      </w:rPr>
    </w:lvl>
    <w:lvl w:ilvl="2">
      <w:start w:val="0"/>
      <w:numFmt w:val="bullet"/>
      <w:lvlText w:val=""/>
      <w:lvlJc w:val="left"/>
      <w:pPr>
        <w:tabs>
          <w:tab w:val="num" w:pos="0"/>
        </w:tabs>
        <w:ind w:left="2713" w:hanging="360"/>
      </w:pPr>
      <w:rPr>
        <w:rFonts w:ascii="Symbol" w:hAnsi="Symbol" w:cs="Symbol" w:hint="default"/>
        <w:lang w:val="pt-PT" w:eastAsia="en-US" w:bidi="ar-SA"/>
      </w:rPr>
    </w:lvl>
    <w:lvl w:ilvl="3">
      <w:start w:val="0"/>
      <w:numFmt w:val="bullet"/>
      <w:lvlText w:val=""/>
      <w:lvlJc w:val="left"/>
      <w:pPr>
        <w:tabs>
          <w:tab w:val="num" w:pos="0"/>
        </w:tabs>
        <w:ind w:left="3639" w:hanging="360"/>
      </w:pPr>
      <w:rPr>
        <w:rFonts w:ascii="Symbol" w:hAnsi="Symbol" w:cs="Symbol" w:hint="default"/>
        <w:lang w:val="pt-PT" w:eastAsia="en-US" w:bidi="ar-SA"/>
      </w:rPr>
    </w:lvl>
    <w:lvl w:ilvl="4">
      <w:start w:val="0"/>
      <w:numFmt w:val="bullet"/>
      <w:lvlText w:val=""/>
      <w:lvlJc w:val="left"/>
      <w:pPr>
        <w:tabs>
          <w:tab w:val="num" w:pos="0"/>
        </w:tabs>
        <w:ind w:left="4566" w:hanging="360"/>
      </w:pPr>
      <w:rPr>
        <w:rFonts w:ascii="Symbol" w:hAnsi="Symbol" w:cs="Symbol" w:hint="default"/>
        <w:lang w:val="pt-PT" w:eastAsia="en-US" w:bidi="ar-SA"/>
      </w:rPr>
    </w:lvl>
    <w:lvl w:ilvl="5">
      <w:start w:val="0"/>
      <w:numFmt w:val="bullet"/>
      <w:lvlText w:val=""/>
      <w:lvlJc w:val="left"/>
      <w:pPr>
        <w:tabs>
          <w:tab w:val="num" w:pos="0"/>
        </w:tabs>
        <w:ind w:left="5493" w:hanging="360"/>
      </w:pPr>
      <w:rPr>
        <w:rFonts w:ascii="Symbol" w:hAnsi="Symbol" w:cs="Symbol" w:hint="default"/>
        <w:lang w:val="pt-PT" w:eastAsia="en-US" w:bidi="ar-SA"/>
      </w:rPr>
    </w:lvl>
    <w:lvl w:ilvl="6">
      <w:start w:val="0"/>
      <w:numFmt w:val="bullet"/>
      <w:lvlText w:val=""/>
      <w:lvlJc w:val="left"/>
      <w:pPr>
        <w:tabs>
          <w:tab w:val="num" w:pos="0"/>
        </w:tabs>
        <w:ind w:left="6419" w:hanging="360"/>
      </w:pPr>
      <w:rPr>
        <w:rFonts w:ascii="Symbol" w:hAnsi="Symbol" w:cs="Symbol" w:hint="default"/>
        <w:lang w:val="pt-PT" w:eastAsia="en-US" w:bidi="ar-SA"/>
      </w:rPr>
    </w:lvl>
    <w:lvl w:ilvl="7">
      <w:start w:val="0"/>
      <w:numFmt w:val="bullet"/>
      <w:lvlText w:val=""/>
      <w:lvlJc w:val="left"/>
      <w:pPr>
        <w:tabs>
          <w:tab w:val="num" w:pos="0"/>
        </w:tabs>
        <w:ind w:left="7346" w:hanging="360"/>
      </w:pPr>
      <w:rPr>
        <w:rFonts w:ascii="Symbol" w:hAnsi="Symbol" w:cs="Symbol" w:hint="default"/>
        <w:lang w:val="pt-PT" w:eastAsia="en-US" w:bidi="ar-SA"/>
      </w:rPr>
    </w:lvl>
    <w:lvl w:ilvl="8">
      <w:start w:val="0"/>
      <w:numFmt w:val="bullet"/>
      <w:lvlText w:val=""/>
      <w:lvlJc w:val="left"/>
      <w:pPr>
        <w:tabs>
          <w:tab w:val="num" w:pos="0"/>
        </w:tabs>
        <w:ind w:left="8273" w:hanging="360"/>
      </w:pPr>
      <w:rPr>
        <w:rFonts w:ascii="Symbol" w:hAnsi="Symbol" w:cs="Symbol" w:hint="default"/>
        <w:lang w:val="pt-PT" w:eastAsia="en-US" w:bidi="ar-SA"/>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Arial MT" w:hAnsi="Arial MT" w:eastAsia="Arial MT" w:cs="Arial MT"/>
      <w:color w:val="auto"/>
      <w:kern w:val="0"/>
      <w:sz w:val="22"/>
      <w:szCs w:val="22"/>
      <w:lang w:val="pt-PT" w:eastAsia="en-US" w:bidi="ar-SA"/>
    </w:rPr>
  </w:style>
  <w:style w:type="paragraph" w:styleId="Ttulo1">
    <w:name w:val="Heading 1"/>
    <w:basedOn w:val="Normal"/>
    <w:uiPriority w:val="9"/>
    <w:qFormat/>
    <w:pPr>
      <w:ind w:left="142" w:hanging="0"/>
      <w:outlineLvl w:val="0"/>
    </w:pPr>
    <w:rPr>
      <w:rFonts w:ascii="Arial" w:hAnsi="Arial" w:eastAsia="Arial" w:cs="Arial"/>
      <w:b/>
      <w:bCs/>
      <w:sz w:val="20"/>
      <w:szCs w:val="20"/>
    </w:rPr>
  </w:style>
  <w:style w:type="character" w:styleId="DefaultParagraphFont" w:default="1">
    <w:name w:val="Default Paragraph Font"/>
    <w:uiPriority w:val="1"/>
    <w:semiHidden/>
    <w:unhideWhenUsed/>
    <w:qFormat/>
    <w:rPr/>
  </w:style>
  <w:style w:type="character" w:styleId="LinkdaInternet" w:customStyle="1">
    <w:name w:val="Link da Internet"/>
    <w:rPr>
      <w:color w:val="000080"/>
      <w:u w:val="single"/>
    </w:rPr>
  </w:style>
  <w:style w:type="character" w:styleId="Linkdainternetvisitado" w:customStyle="1">
    <w:name w:val="Link da internet visitado"/>
    <w:basedOn w:val="DefaultParagraphFont"/>
    <w:rPr>
      <w:color w:val="800080"/>
      <w:u w:val="single"/>
    </w:rPr>
  </w:style>
  <w:style w:type="character" w:styleId="Smbolosdenumerao" w:customStyle="1">
    <w:name w:val="Símbolos de numeração"/>
    <w:qFormat/>
    <w:rPr/>
  </w:style>
  <w:style w:type="character" w:styleId="Caracteresdenotaderodap" w:customStyle="1">
    <w:name w:val="Caracteres de nota de rodapé"/>
    <w:qFormat/>
    <w:rPr/>
  </w:style>
  <w:style w:type="character" w:styleId="Ncoradanotaderodap" w:customStyle="1">
    <w:name w:val="Âncora da nota de rodapé"/>
    <w:rPr>
      <w:vertAlign w:val="superscript"/>
    </w:rPr>
  </w:style>
  <w:style w:type="character" w:styleId="Ncoradanotadefim" w:customStyle="1">
    <w:name w:val="Âncora da nota de fim"/>
    <w:rPr>
      <w:vertAlign w:val="superscript"/>
    </w:rPr>
  </w:style>
  <w:style w:type="character" w:styleId="Caracteresdenotadefim" w:customStyle="1">
    <w:name w:val="Caracteres de nota de fim"/>
    <w:qFormat/>
    <w:rPr/>
  </w:style>
  <w:style w:type="character" w:styleId="Nfaseforte" w:customStyle="1">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uiPriority w:val="1"/>
    <w:qFormat/>
    <w:pPr/>
    <w:rPr>
      <w:sz w:val="20"/>
      <w:szCs w:val="20"/>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uiPriority w:val="10"/>
    <w:qFormat/>
    <w:pPr>
      <w:spacing w:before="91" w:after="0"/>
      <w:ind w:left="890" w:hanging="0"/>
    </w:pPr>
    <w:rPr>
      <w:rFonts w:ascii="Arial" w:hAnsi="Arial" w:eastAsia="Arial" w:cs="Arial"/>
      <w:b/>
      <w:bCs/>
      <w:sz w:val="26"/>
      <w:szCs w:val="26"/>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1"/>
    <w:qFormat/>
    <w:pPr>
      <w:ind w:left="142" w:hanging="0"/>
      <w:jc w:val="both"/>
    </w:pPr>
    <w:rPr/>
  </w:style>
  <w:style w:type="paragraph" w:styleId="TableParagraph" w:customStyle="1">
    <w:name w:val="Table Paragraph"/>
    <w:basedOn w:val="Normal"/>
    <w:uiPriority w:val="1"/>
    <w:qFormat/>
    <w:pPr/>
    <w:rPr/>
  </w:style>
  <w:style w:type="paragraph" w:styleId="CabealhoeRodap" w:customStyle="1">
    <w:name w:val="Cabeçalho e Rodapé"/>
    <w:basedOn w:val="Normal"/>
    <w:qFormat/>
    <w:pPr/>
    <w:rPr/>
  </w:style>
  <w:style w:type="paragraph" w:styleId="Cabealho">
    <w:name w:val="Header"/>
    <w:basedOn w:val="CabealhoeRodap"/>
    <w:pPr/>
    <w:rPr/>
  </w:style>
  <w:style w:type="paragraph" w:styleId="Contedodoquadro" w:customStyle="1">
    <w:name w:val="Conteúdo do quadro"/>
    <w:basedOn w:val="Normal"/>
    <w:qFormat/>
    <w:pPr/>
    <w:rPr/>
  </w:style>
  <w:style w:type="paragraph" w:styleId="Rodap">
    <w:name w:val="Footer"/>
    <w:basedOn w:val="CabealhoeRodap"/>
    <w:pPr>
      <w:suppressLineNumbers/>
      <w:tabs>
        <w:tab w:val="clear" w:pos="720"/>
        <w:tab w:val="center" w:pos="5063" w:leader="none"/>
        <w:tab w:val="right" w:pos="10126" w:leader="none"/>
      </w:tabs>
    </w:pPr>
    <w:rPr/>
  </w:style>
  <w:style w:type="paragraph" w:styleId="Nivel2" w:customStyle="1">
    <w:name w:val="Nivel 2"/>
    <w:qFormat/>
    <w:pPr>
      <w:widowControl/>
      <w:suppressAutoHyphens w:val="true"/>
      <w:bidi w:val="0"/>
      <w:spacing w:lineRule="auto" w:line="276" w:before="120" w:after="120"/>
      <w:ind w:left="858" w:hanging="432"/>
      <w:jc w:val="both"/>
    </w:pPr>
    <w:rPr>
      <w:rFonts w:ascii="Ecofont_Spranq_eco_Sans" w:hAnsi="Ecofont_Spranq_eco_Sans" w:eastAsia="Arial Unicode MS" w:cs="Times New Roman"/>
      <w:color w:val="auto"/>
      <w:kern w:val="0"/>
      <w:sz w:val="20"/>
      <w:szCs w:val="20"/>
      <w:lang w:val="en-US" w:eastAsia="pt-BR" w:bidi="ar-SA"/>
    </w:rPr>
  </w:style>
  <w:style w:type="paragraph" w:styleId="Nivel3" w:customStyle="1">
    <w:name w:val="Nivel 3"/>
    <w:basedOn w:val="Nivel2"/>
    <w:qFormat/>
    <w:pPr/>
    <w:rPr>
      <w:rFonts w:cs="Arial"/>
      <w:color w:val="000000"/>
    </w:rPr>
  </w:style>
  <w:style w:type="paragraph" w:styleId="Nivel4" w:customStyle="1">
    <w:name w:val="Nivel 4"/>
    <w:basedOn w:val="Nivel3"/>
    <w:qFormat/>
    <w:pPr/>
    <w:rPr>
      <w:color w:val="auto"/>
    </w:rPr>
  </w:style>
  <w:style w:type="paragraph" w:styleId="Standard" w:customStyle="1">
    <w:name w:val="Standard"/>
    <w:qFormat/>
    <w:rsid w:val="006a344c"/>
    <w:pPr>
      <w:widowControl/>
      <w:suppressAutoHyphens w:val="true"/>
      <w:bidi w:val="0"/>
      <w:spacing w:lineRule="auto" w:line="276" w:before="0" w:after="200"/>
      <w:jc w:val="left"/>
      <w:textAlignment w:val="baseline"/>
    </w:pPr>
    <w:rPr>
      <w:rFonts w:ascii="Calibri" w:hAnsi="Calibri" w:eastAsia="Calibri" w:cs="Calibri"/>
      <w:color w:val="00000A"/>
      <w:kern w:val="2"/>
      <w:sz w:val="22"/>
      <w:szCs w:val="22"/>
      <w:lang w:val="pt-BR" w:eastAsia="pt-BR" w:bidi="ar-SA"/>
    </w:rPr>
  </w:style>
  <w:style w:type="paragraph" w:styleId="NormalWeb">
    <w:name w:val="Normal (Web)"/>
    <w:basedOn w:val="Normal"/>
    <w:qFormat/>
    <w:pPr>
      <w:spacing w:beforeAutospacing="1" w:after="119"/>
    </w:pPr>
    <w:rPr>
      <w:rFonts w:ascii="Times New Roman" w:hAnsi="Times New Roman" w:eastAsia="Times New Roman"/>
      <w:color w:val="00000A"/>
      <w:sz w:val="24"/>
      <w:szCs w:val="24"/>
      <w:lang w:eastAsia="pt-BR"/>
    </w:rPr>
  </w:style>
  <w:style w:type="paragraph" w:styleId="Contedodatabela" w:customStyle="1">
    <w:name w:val="Conteúdo da tabela"/>
    <w:basedOn w:val="Normal"/>
    <w:qFormat/>
    <w:pPr>
      <w:suppressLineNumbers/>
    </w:pPr>
    <w:rPr/>
  </w:style>
  <w:style w:type="paragraph" w:styleId="Ttulodetabela" w:customStyle="1">
    <w:name w:val="Título de tabela"/>
    <w:basedOn w:val="Contedodatabela"/>
    <w:qFormat/>
    <w:pPr>
      <w:jc w:val="center"/>
    </w:pPr>
    <w:rPr>
      <w:b/>
      <w:bCs/>
    </w:rPr>
  </w:style>
  <w:style w:type="paragraph" w:styleId="Xwestern" w:customStyle="1">
    <w:name w:val="x_western"/>
    <w:basedOn w:val="Normal"/>
    <w:qFormat/>
    <w:pPr>
      <w:spacing w:beforeAutospacing="1" w:afterAutospacing="1"/>
    </w:pPr>
    <w:rPr>
      <w:rFonts w:ascii="Times New Roman" w:hAnsi="Times New Roman" w:eastAsia="Times New Roman"/>
      <w:sz w:val="24"/>
      <w:szCs w:val="24"/>
      <w:lang w:eastAsia="pt-BR"/>
    </w:rPr>
  </w:style>
  <w:style w:type="paragraph" w:styleId="Corpodetexto21" w:customStyle="1">
    <w:name w:val="Corpo de texto 21"/>
    <w:basedOn w:val="Normal"/>
    <w:qFormat/>
    <w:pPr>
      <w:ind w:firstLine="2835"/>
      <w:jc w:val="both"/>
    </w:pPr>
    <w:rPr>
      <w:rFonts w:ascii="Arial" w:hAnsi="Arial" w:eastAsia="Times New Roman"/>
      <w:sz w:val="24"/>
      <w:szCs w:val="20"/>
      <w:lang w:eastAsia="ar-SA"/>
    </w:rPr>
  </w:style>
  <w:style w:type="paragraph" w:styleId="Notaderodap">
    <w:name w:val="Footnote Text"/>
    <w:basedOn w:val="Normal"/>
    <w:pPr>
      <w:suppressLineNumbers/>
      <w:ind w:left="340" w:hanging="340"/>
    </w:pPr>
    <w:rPr>
      <w:sz w:val="20"/>
      <w:szCs w:val="20"/>
    </w:rPr>
  </w:style>
  <w:style w:type="paragraph" w:styleId="N11" w:customStyle="1">
    <w:name w:val="N 1.1"/>
    <w:basedOn w:val="Normal"/>
    <w:qFormat/>
    <w:pPr>
      <w:spacing w:before="240" w:after="240"/>
      <w:ind w:left="284" w:hanging="0"/>
      <w:jc w:val="both"/>
    </w:pPr>
    <w:rPr>
      <w:rFonts w:ascii="Arial" w:hAnsi="Arial" w:cs="" w:cstheme="minorBidi"/>
      <w:sz w:val="24"/>
    </w:rPr>
  </w:style>
  <w:style w:type="paragraph" w:styleId="N111" w:customStyle="1">
    <w:name w:val="N 1.1.1"/>
    <w:basedOn w:val="N11"/>
    <w:qFormat/>
    <w:pPr/>
    <w:rPr/>
  </w:style>
  <w:style w:type="paragraph" w:styleId="Nivel1" w:customStyle="1">
    <w:name w:val="Nivel1"/>
    <w:basedOn w:val="Ttulo1"/>
    <w:next w:val="Normal"/>
    <w:qFormat/>
    <w:pPr>
      <w:spacing w:before="480" w:after="120"/>
      <w:ind w:left="357" w:hanging="357"/>
      <w:jc w:val="both"/>
      <w:outlineLvl w:val="9"/>
    </w:pPr>
    <w:rPr>
      <w:color w:val="000000"/>
      <w:lang w:eastAsia="pt-BR"/>
    </w:rPr>
  </w:style>
  <w:style w:type="paragraph" w:styleId="N1111" w:customStyle="1">
    <w:name w:val="N 1.1.1.1"/>
    <w:basedOn w:val="N111"/>
    <w:qFormat/>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ll.org.br/" TargetMode="External"/><Relationship Id="rId3" Type="http://schemas.openxmlformats.org/officeDocument/2006/relationships/hyperlink" Target="http://bll.org.br/" TargetMode="External"/><Relationship Id="rId4" Type="http://schemas.openxmlformats.org/officeDocument/2006/relationships/hyperlink" Target="http://www.pma.es.gov.br/licitacoes/" TargetMode="External"/><Relationship Id="rId5" Type="http://schemas.openxmlformats.org/officeDocument/2006/relationships/hyperlink" Target="http://bll.org.br/" TargetMode="External"/><Relationship Id="rId6" Type="http://schemas.openxmlformats.org/officeDocument/2006/relationships/hyperlink" Target="http://bll.org.br/cadastro/" TargetMode="External"/><Relationship Id="rId7" Type="http://schemas.openxmlformats.org/officeDocument/2006/relationships/hyperlink" Target="https://bllcompras.com/" TargetMode="External"/><Relationship Id="rId8" Type="http://schemas.openxmlformats.org/officeDocument/2006/relationships/hyperlink" Target="mailto:contato@bll.org.br" TargetMode="External"/><Relationship Id="rId9" Type="http://schemas.openxmlformats.org/officeDocument/2006/relationships/hyperlink" Target="http://bll.org.br/" TargetMode="External"/><Relationship Id="rId10" Type="http://schemas.openxmlformats.org/officeDocument/2006/relationships/hyperlink" Target="http://bll.org.br/" TargetMode="External"/><Relationship Id="rId11" Type="http://schemas.openxmlformats.org/officeDocument/2006/relationships/hyperlink" Target="http://bll.org.br/" TargetMode="External"/><Relationship Id="rId12" Type="http://schemas.openxmlformats.org/officeDocument/2006/relationships/hyperlink" Target="http://bll.org.br/" TargetMode="External"/><Relationship Id="rId13" Type="http://schemas.openxmlformats.org/officeDocument/2006/relationships/hyperlink" Target="https://bllcompras.com/" TargetMode="External"/><Relationship Id="rId14" Type="http://schemas.openxmlformats.org/officeDocument/2006/relationships/hyperlink" Target="http://www.bll.org.br/" TargetMode="External"/><Relationship Id="rId15" Type="http://schemas.openxmlformats.org/officeDocument/2006/relationships/hyperlink" Target="http://www.portaltransparencia.gov.br/sancoes/ceis" TargetMode="External"/><Relationship Id="rId16" Type="http://schemas.openxmlformats.org/officeDocument/2006/relationships/hyperlink" Target="https://contas.tcu.gov.br/ords/f?p=1660:3:::NO:3,4,6::&amp;cs=3THEaOzL2JICblxJYqGT55NfWciw" TargetMode="External"/><Relationship Id="rId17" Type="http://schemas.openxmlformats.org/officeDocument/2006/relationships/hyperlink" Target="mailto:licitacao@aracruz.es.gov.br" TargetMode="External"/><Relationship Id="rId18" Type="http://schemas.openxmlformats.org/officeDocument/2006/relationships/hyperlink" Target="http://bll.org.br/" TargetMode="External"/><Relationship Id="rId19" Type="http://schemas.openxmlformats.org/officeDocument/2006/relationships/hyperlink" Target="https://aracruz.prefeiturasempapel.com.br/portal/login.aspx" TargetMode="External"/><Relationship Id="rId20" Type="http://schemas.openxmlformats.org/officeDocument/2006/relationships/image" Target="media/image1.png"/><Relationship Id="rId21" Type="http://schemas.openxmlformats.org/officeDocument/2006/relationships/hyperlink" Target="http://www.aracruz.es.gov.br/licitacoes/" TargetMode="External"/><Relationship Id="rId22" Type="http://schemas.openxmlformats.org/officeDocument/2006/relationships/hyperlink" Target="http://www.aracruz.es.gov.br/licitacoes/" TargetMode="External"/><Relationship Id="rId23" Type="http://schemas.openxmlformats.org/officeDocument/2006/relationships/hyperlink" Target="http://bll.org.br/" TargetMode="External"/><Relationship Id="rId24" Type="http://schemas.openxmlformats.org/officeDocument/2006/relationships/image" Target="media/image1.png"/><Relationship Id="rId25" Type="http://schemas.openxmlformats.org/officeDocument/2006/relationships/hyperlink" Target="https://aracruz.prefeiturasempapel.com.br/portal/login.aspx"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header" Target="header3.xml"/><Relationship Id="rId29" Type="http://schemas.openxmlformats.org/officeDocument/2006/relationships/footer" Target="footer1.xml"/><Relationship Id="rId30" Type="http://schemas.openxmlformats.org/officeDocument/2006/relationships/footer" Target="footer2.xml"/><Relationship Id="rId31" Type="http://schemas.openxmlformats.org/officeDocument/2006/relationships/footer" Target="footer3.xml"/><Relationship Id="rId32" Type="http://schemas.openxmlformats.org/officeDocument/2006/relationships/numbering" Target="numbering.xml"/><Relationship Id="rId33" Type="http://schemas.openxmlformats.org/officeDocument/2006/relationships/fontTable" Target="fontTable.xml"/><Relationship Id="rId34" Type="http://schemas.openxmlformats.org/officeDocument/2006/relationships/settings" Target="settings.xml"/><Relationship Id="rId35"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Application>LibreOffice/7.2.6.2$Windows_X86_64 LibreOffice_project/b0ec3a565991f7569a5a7f5d24fed7f52653d754</Application>
  <AppVersion>15.0000</AppVersion>
  <Pages>88</Pages>
  <Words>32511</Words>
  <Characters>190125</Characters>
  <CharactersWithSpaces>221958</CharactersWithSpaces>
  <Paragraphs>1309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2025-08-28T13:51:00Z</dcterms:created>
  <dc:creator>Fernando Antonio Finamore Teixeira</dc:creator>
  <dc:description/>
  <dc:language>pt-BR</dc:language>
  <cp:lastModifiedBy/>
  <cp:lastPrinted>2025-10-29T13:59:31Z</cp:lastPrinted>
  <dcterms:modified xsi:type="dcterms:W3CDTF">2025-10-29T14:02:28Z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2023-10-17T00:00:00Z</vt:filetime>
  </property>
  <property fmtid="{D5CDD505-2E9C-101B-9397-08002B2CF9AE}" pid="3" name="Creator">
    <vt:lpwstr>Microsoft® Word 2019</vt:lpwstr>
  </property>
  <property fmtid="{D5CDD505-2E9C-101B-9397-08002B2CF9AE}" pid="4" name="LastSaved">
    <vt:filetime>2023-11-06T00:00:00Z</vt:filetime>
  </property>
</Properties>
</file>